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93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44"/>
        <w:gridCol w:w="2412"/>
        <w:gridCol w:w="2692"/>
        <w:gridCol w:w="2545"/>
      </w:tblGrid>
      <w:tr w:rsidR="00945783" w:rsidRPr="00945783" w14:paraId="302B870E" w14:textId="77777777" w:rsidTr="6A1E0C88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E5D068" w14:textId="77777777" w:rsidR="00945783" w:rsidRPr="00945783" w:rsidRDefault="00945783" w:rsidP="00945783">
            <w:pPr>
              <w:rPr>
                <w:rFonts w:ascii="Arial" w:hAnsi="Arial" w:cs="Arial"/>
                <w:bCs/>
                <w:noProof/>
                <w:sz w:val="16"/>
                <w:szCs w:val="16"/>
                <w:lang w:eastAsia="en-GB"/>
              </w:rPr>
            </w:pPr>
            <w:r w:rsidRPr="00945783">
              <w:rPr>
                <w:rFonts w:ascii="Arial" w:hAnsi="Arial" w:cs="Arial"/>
                <w:bCs/>
                <w:noProof/>
                <w:sz w:val="16"/>
                <w:szCs w:val="16"/>
                <w:lang w:eastAsia="en-GB"/>
              </w:rPr>
              <w:t>Funded By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A6659" w14:textId="77777777" w:rsidR="00945783" w:rsidRPr="00945783" w:rsidRDefault="00945783" w:rsidP="00945783">
            <w:pPr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7501D" w14:textId="77777777" w:rsidR="00945783" w:rsidRPr="00945783" w:rsidRDefault="00945783" w:rsidP="00945783">
            <w:pPr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B2D76F" w14:textId="77777777" w:rsidR="00945783" w:rsidRPr="00945783" w:rsidRDefault="00945783" w:rsidP="00945783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Delivered By</w:t>
            </w:r>
          </w:p>
        </w:tc>
      </w:tr>
      <w:tr w:rsidR="00945783" w:rsidRPr="007D6680" w14:paraId="5DAB6C7B" w14:textId="77777777" w:rsidTr="6A1E0C88">
        <w:trPr>
          <w:trHeight w:val="1701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EB378F" w14:textId="760F44F3" w:rsidR="00945783" w:rsidRPr="007D6680" w:rsidRDefault="00A210B2" w:rsidP="00945783">
            <w:pPr>
              <w:rPr>
                <w:rFonts w:ascii="Arial" w:hAnsi="Arial" w:cs="Arial"/>
                <w:bCs/>
                <w:noProof/>
                <w:sz w:val="10"/>
                <w:szCs w:val="1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2D51A22" wp14:editId="04586DEF">
                  <wp:extent cx="1580515" cy="1212850"/>
                  <wp:effectExtent l="0" t="0" r="635" b="6350"/>
                  <wp:docPr id="12832650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05A809" w14:textId="5EA87613" w:rsidR="00945783" w:rsidRPr="008C0E3A" w:rsidRDefault="00945783" w:rsidP="6A1E0C88">
            <w:pPr>
              <w:jc w:val="center"/>
              <w:rPr>
                <w:rFonts w:ascii="Bradley Hand ITC" w:hAnsi="Bradley Hand ITC"/>
                <w:b/>
                <w:bCs/>
                <w:noProof/>
                <w:color w:val="EE0000"/>
                <w:sz w:val="36"/>
                <w:szCs w:val="36"/>
                <w:lang w:eastAsia="en-GB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39BBE3" w14:textId="77777777" w:rsidR="00945783" w:rsidRDefault="00945783" w:rsidP="002D0581">
            <w:pPr>
              <w:jc w:val="right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ACEDEB1" wp14:editId="2AA12FD0">
                  <wp:extent cx="1257300" cy="381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C8F396" w14:textId="61069B4B" w:rsidR="00AB60E6" w:rsidRDefault="001143A6" w:rsidP="00945783">
            <w:pPr>
              <w:jc w:val="right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5807CA3" wp14:editId="25960DB8">
                  <wp:extent cx="1141273" cy="806959"/>
                  <wp:effectExtent l="0" t="0" r="0" b="0"/>
                  <wp:docPr id="3" name="Picture 3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677" cy="817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D3EC" w14:textId="77777777" w:rsidR="00AB60E6" w:rsidRDefault="00AB60E6" w:rsidP="00AB60E6">
            <w:pPr>
              <w:rPr>
                <w:lang w:eastAsia="en-GB"/>
              </w:rPr>
            </w:pPr>
          </w:p>
          <w:p w14:paraId="0D0B940D" w14:textId="77777777" w:rsidR="00945783" w:rsidRPr="00AB60E6" w:rsidRDefault="00945783" w:rsidP="00AB60E6">
            <w:pPr>
              <w:jc w:val="right"/>
              <w:rPr>
                <w:lang w:eastAsia="en-GB"/>
              </w:rPr>
            </w:pPr>
          </w:p>
        </w:tc>
      </w:tr>
      <w:tr w:rsidR="005452EF" w:rsidRPr="00414301" w14:paraId="48A87F40" w14:textId="77777777" w:rsidTr="6A1E0C88">
        <w:trPr>
          <w:trHeight w:val="118"/>
          <w:jc w:val="center"/>
        </w:trPr>
        <w:tc>
          <w:tcPr>
            <w:tcW w:w="111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BDAD3" w14:textId="77777777" w:rsidR="00BB4216" w:rsidRDefault="00CA4C2D" w:rsidP="00F8754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-4"/>
                <w:sz w:val="28"/>
              </w:rPr>
            </w:pPr>
            <w:r>
              <w:rPr>
                <w:rFonts w:ascii="Arial" w:hAnsi="Arial" w:cs="Arial"/>
                <w:b/>
                <w:bCs/>
                <w:spacing w:val="-4"/>
                <w:sz w:val="28"/>
              </w:rPr>
              <w:t>202</w:t>
            </w:r>
            <w:r w:rsidR="00A210B2">
              <w:rPr>
                <w:rFonts w:ascii="Arial" w:hAnsi="Arial" w:cs="Arial"/>
                <w:b/>
                <w:bCs/>
                <w:spacing w:val="-4"/>
                <w:sz w:val="28"/>
              </w:rPr>
              <w:t>5</w:t>
            </w:r>
            <w:r w:rsidR="005452EF" w:rsidRPr="000471B2">
              <w:rPr>
                <w:rFonts w:ascii="Arial" w:hAnsi="Arial" w:cs="Arial"/>
                <w:b/>
                <w:bCs/>
                <w:spacing w:val="-4"/>
                <w:sz w:val="28"/>
              </w:rPr>
              <w:t>-</w:t>
            </w:r>
            <w:r w:rsidR="00802301">
              <w:rPr>
                <w:rFonts w:ascii="Arial" w:hAnsi="Arial" w:cs="Arial"/>
                <w:b/>
                <w:bCs/>
                <w:spacing w:val="-4"/>
                <w:sz w:val="28"/>
              </w:rPr>
              <w:t>2</w:t>
            </w:r>
            <w:r w:rsidR="00A210B2">
              <w:rPr>
                <w:rFonts w:ascii="Arial" w:hAnsi="Arial" w:cs="Arial"/>
                <w:b/>
                <w:bCs/>
                <w:spacing w:val="-4"/>
                <w:sz w:val="28"/>
              </w:rPr>
              <w:t>6</w:t>
            </w:r>
            <w:r w:rsidR="005452EF" w:rsidRPr="000471B2">
              <w:rPr>
                <w:rFonts w:ascii="Arial" w:hAnsi="Arial" w:cs="Arial"/>
                <w:b/>
                <w:bCs/>
                <w:spacing w:val="-4"/>
                <w:sz w:val="28"/>
              </w:rPr>
              <w:t xml:space="preserve"> Course Fees Contribution Policy</w:t>
            </w:r>
          </w:p>
          <w:p w14:paraId="0E27B00A" w14:textId="717904F2" w:rsidR="00F8754E" w:rsidRPr="00F8754E" w:rsidRDefault="00F8754E" w:rsidP="00F8754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-4"/>
                <w:sz w:val="28"/>
              </w:rPr>
            </w:pPr>
          </w:p>
        </w:tc>
      </w:tr>
    </w:tbl>
    <w:p w14:paraId="066E03B5" w14:textId="2CBD9EED" w:rsidR="00545F3B" w:rsidRPr="00545F3B" w:rsidRDefault="00545F3B" w:rsidP="00545F3B">
      <w:pPr>
        <w:rPr>
          <w:rFonts w:ascii="Arial" w:hAnsi="Arial" w:cs="Arial"/>
          <w:b/>
        </w:rPr>
      </w:pPr>
      <w:r w:rsidRPr="00545F3B">
        <w:rPr>
          <w:rFonts w:ascii="Arial" w:hAnsi="Arial" w:cs="Arial"/>
        </w:rPr>
        <w:t xml:space="preserve">This fees contributions policy applies to all learning provided by Realise Futures </w:t>
      </w:r>
      <w:r w:rsidR="007C74F7">
        <w:rPr>
          <w:rFonts w:ascii="Arial" w:hAnsi="Arial" w:cs="Arial"/>
        </w:rPr>
        <w:t>Learning Coaching and Advice service</w:t>
      </w:r>
      <w:r w:rsidRPr="00545F3B">
        <w:rPr>
          <w:rFonts w:ascii="Arial" w:hAnsi="Arial" w:cs="Arial"/>
        </w:rPr>
        <w:t xml:space="preserve"> under all funding streams</w:t>
      </w:r>
      <w:r w:rsidR="007C74F7">
        <w:rPr>
          <w:rFonts w:ascii="Arial" w:hAnsi="Arial" w:cs="Arial"/>
        </w:rPr>
        <w:t>,</w:t>
      </w:r>
      <w:r w:rsidRPr="00545F3B">
        <w:rPr>
          <w:rFonts w:ascii="Arial" w:hAnsi="Arial" w:cs="Arial"/>
        </w:rPr>
        <w:t xml:space="preserve"> for learning starting on or after 1 August 202</w:t>
      </w:r>
      <w:r w:rsidR="00A210B2">
        <w:rPr>
          <w:rFonts w:ascii="Arial" w:hAnsi="Arial" w:cs="Arial"/>
        </w:rPr>
        <w:t>5</w:t>
      </w:r>
      <w:r w:rsidR="005A6841">
        <w:rPr>
          <w:rFonts w:ascii="Arial" w:hAnsi="Arial" w:cs="Arial"/>
        </w:rPr>
        <w:t>.</w:t>
      </w:r>
    </w:p>
    <w:p w14:paraId="658D530D" w14:textId="47AE30FE" w:rsidR="00545F3B" w:rsidRDefault="00545F3B" w:rsidP="00545F3B">
      <w:pPr>
        <w:rPr>
          <w:rFonts w:ascii="Arial" w:hAnsi="Arial" w:cs="Arial"/>
        </w:rPr>
      </w:pPr>
      <w:r w:rsidRPr="00545F3B">
        <w:rPr>
          <w:rFonts w:ascii="Arial" w:hAnsi="Arial" w:cs="Arial"/>
        </w:rPr>
        <w:t xml:space="preserve">Realise Futures </w:t>
      </w:r>
      <w:r>
        <w:rPr>
          <w:rFonts w:ascii="Arial" w:hAnsi="Arial" w:cs="Arial"/>
        </w:rPr>
        <w:t xml:space="preserve">is subcontracted by Suffolk County Council to deliver learning funded by the </w:t>
      </w:r>
      <w:r w:rsidR="00A210B2">
        <w:rPr>
          <w:rFonts w:ascii="Arial" w:hAnsi="Arial" w:cs="Arial"/>
        </w:rPr>
        <w:t>Department for Education (DfE)</w:t>
      </w:r>
      <w:r>
        <w:rPr>
          <w:rFonts w:ascii="Arial" w:hAnsi="Arial" w:cs="Arial"/>
        </w:rPr>
        <w:t xml:space="preserve">. We also deliver learning funded directly by the learner or learner’s employer and through a small number of other funds. </w:t>
      </w:r>
    </w:p>
    <w:p w14:paraId="256319DD" w14:textId="77777777" w:rsidR="00A01D4B" w:rsidRPr="00A01D4B" w:rsidRDefault="00A01D4B" w:rsidP="00AB67C6">
      <w:pPr>
        <w:spacing w:before="360" w:after="120"/>
        <w:rPr>
          <w:rFonts w:ascii="Arial" w:hAnsi="Arial" w:cs="Arial"/>
          <w:b/>
          <w:bCs/>
          <w:sz w:val="24"/>
          <w:szCs w:val="24"/>
        </w:rPr>
      </w:pPr>
      <w:r w:rsidRPr="00A01D4B">
        <w:rPr>
          <w:rFonts w:ascii="Arial" w:hAnsi="Arial" w:cs="Arial"/>
          <w:b/>
          <w:bCs/>
          <w:sz w:val="24"/>
          <w:szCs w:val="24"/>
        </w:rPr>
        <w:t>Age</w:t>
      </w:r>
    </w:p>
    <w:p w14:paraId="73C7F09F" w14:textId="3EE140CA" w:rsidR="00A01D4B" w:rsidRDefault="00A01D4B" w:rsidP="00545F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Realise Futures courses are designed for adults. Learners must be </w:t>
      </w:r>
      <w:r w:rsidRPr="00A01D4B">
        <w:rPr>
          <w:rFonts w:ascii="Arial" w:hAnsi="Arial" w:cs="Arial"/>
        </w:rPr>
        <w:t>born on or before 31 August 200</w:t>
      </w:r>
      <w:r w:rsidR="00A210B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to join one of our classes. Younger learners may attend learning delivered through our </w:t>
      </w:r>
      <w:r w:rsidRPr="00A01D4B">
        <w:rPr>
          <w:rFonts w:ascii="Arial" w:hAnsi="Arial" w:cs="Arial"/>
        </w:rPr>
        <w:t>family learning</w:t>
      </w:r>
      <w:r>
        <w:rPr>
          <w:rFonts w:ascii="Arial" w:hAnsi="Arial" w:cs="Arial"/>
        </w:rPr>
        <w:t xml:space="preserve"> programme if they are</w:t>
      </w:r>
      <w:r w:rsidRPr="00A01D4B">
        <w:rPr>
          <w:rFonts w:ascii="Arial" w:hAnsi="Arial" w:cs="Arial"/>
        </w:rPr>
        <w:t xml:space="preserve"> a parent, carer or guardian</w:t>
      </w:r>
      <w:r>
        <w:rPr>
          <w:rFonts w:ascii="Arial" w:hAnsi="Arial" w:cs="Arial"/>
        </w:rPr>
        <w:t xml:space="preserve">. </w:t>
      </w:r>
    </w:p>
    <w:p w14:paraId="70FAE8A2" w14:textId="77777777" w:rsidR="00A01D4B" w:rsidRPr="00A01D4B" w:rsidRDefault="00A01D4B" w:rsidP="00AB67C6">
      <w:pPr>
        <w:spacing w:before="360" w:after="120"/>
        <w:rPr>
          <w:rFonts w:ascii="Arial" w:hAnsi="Arial" w:cs="Arial"/>
          <w:b/>
          <w:bCs/>
          <w:sz w:val="24"/>
          <w:szCs w:val="24"/>
        </w:rPr>
      </w:pPr>
      <w:r w:rsidRPr="00A01D4B">
        <w:rPr>
          <w:rFonts w:ascii="Arial" w:hAnsi="Arial" w:cs="Arial"/>
          <w:b/>
          <w:bCs/>
          <w:sz w:val="24"/>
          <w:szCs w:val="24"/>
        </w:rPr>
        <w:t>Residency</w:t>
      </w:r>
    </w:p>
    <w:p w14:paraId="339148AB" w14:textId="4A6B9920" w:rsidR="00545F3B" w:rsidRDefault="00545F3B" w:rsidP="00545F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be entitled to </w:t>
      </w:r>
      <w:r w:rsidR="00A210B2">
        <w:rPr>
          <w:rFonts w:ascii="Arial" w:hAnsi="Arial" w:cs="Arial"/>
        </w:rPr>
        <w:t>DfE</w:t>
      </w:r>
      <w:r>
        <w:rPr>
          <w:rFonts w:ascii="Arial" w:hAnsi="Arial" w:cs="Arial"/>
        </w:rPr>
        <w:t xml:space="preserve"> part or full funding, learners must meet the residency requirements set out in the </w:t>
      </w:r>
      <w:r w:rsidRPr="00545F3B">
        <w:rPr>
          <w:rFonts w:ascii="Arial" w:hAnsi="Arial" w:cs="Arial"/>
          <w:i/>
          <w:iCs/>
        </w:rPr>
        <w:t>Adult Skills Fund: funding rules 202</w:t>
      </w:r>
      <w:r w:rsidR="00A210B2">
        <w:rPr>
          <w:rFonts w:ascii="Arial" w:hAnsi="Arial" w:cs="Arial"/>
          <w:i/>
          <w:iCs/>
        </w:rPr>
        <w:t>5</w:t>
      </w:r>
      <w:r w:rsidRPr="00545F3B">
        <w:rPr>
          <w:rFonts w:ascii="Arial" w:hAnsi="Arial" w:cs="Arial"/>
          <w:i/>
          <w:iCs/>
        </w:rPr>
        <w:t xml:space="preserve"> to </w:t>
      </w:r>
      <w:r w:rsidR="00A01D4B" w:rsidRPr="00545F3B">
        <w:rPr>
          <w:rFonts w:ascii="Arial" w:hAnsi="Arial" w:cs="Arial"/>
          <w:i/>
          <w:iCs/>
        </w:rPr>
        <w:t>202</w:t>
      </w:r>
      <w:r w:rsidR="00A210B2">
        <w:rPr>
          <w:rFonts w:ascii="Arial" w:hAnsi="Arial" w:cs="Arial"/>
          <w:i/>
          <w:iCs/>
        </w:rPr>
        <w:t>6</w:t>
      </w:r>
      <w:r w:rsidR="00A01D4B">
        <w:rPr>
          <w:rFonts w:ascii="Arial" w:hAnsi="Arial" w:cs="Arial"/>
        </w:rPr>
        <w:t>.</w:t>
      </w:r>
      <w:r w:rsidR="00A01D4B" w:rsidRPr="00A01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Any learners not meeting those requirements may still join Realise Futures classes but will need to pay the </w:t>
      </w:r>
      <w:r w:rsidR="00A01D4B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full </w:t>
      </w:r>
      <w:r w:rsidR="00A01D4B">
        <w:rPr>
          <w:rFonts w:ascii="Arial" w:hAnsi="Arial" w:cs="Arial"/>
        </w:rPr>
        <w:t xml:space="preserve">cost” </w:t>
      </w:r>
      <w:r>
        <w:rPr>
          <w:rFonts w:ascii="Arial" w:hAnsi="Arial" w:cs="Arial"/>
        </w:rPr>
        <w:t xml:space="preserve">fee for their learning. </w:t>
      </w:r>
    </w:p>
    <w:p w14:paraId="0935EAE7" w14:textId="42EE2756" w:rsidR="00AB67C6" w:rsidRDefault="00AB67C6" w:rsidP="00545F3B">
      <w:pPr>
        <w:rPr>
          <w:rFonts w:ascii="Arial" w:hAnsi="Arial" w:cs="Arial"/>
        </w:rPr>
      </w:pPr>
      <w:r w:rsidRPr="00AB67C6">
        <w:rPr>
          <w:rFonts w:ascii="Arial" w:hAnsi="Arial" w:cs="Arial"/>
        </w:rPr>
        <w:t xml:space="preserve">Note that we are funded to provide learning to the residents of Suffolk. Learners with a residential address in Cambridgeshire cannot be </w:t>
      </w:r>
      <w:r w:rsidR="00A210B2">
        <w:rPr>
          <w:rFonts w:ascii="Arial" w:hAnsi="Arial" w:cs="Arial"/>
        </w:rPr>
        <w:t>DfE</w:t>
      </w:r>
      <w:r w:rsidRPr="00AB67C6">
        <w:rPr>
          <w:rFonts w:ascii="Arial" w:hAnsi="Arial" w:cs="Arial"/>
        </w:rPr>
        <w:t xml:space="preserve"> funded. Learners living in the </w:t>
      </w:r>
      <w:bookmarkStart w:id="0" w:name="_Hlk171507694"/>
      <w:r w:rsidRPr="00AB67C6">
        <w:rPr>
          <w:rFonts w:ascii="Arial" w:hAnsi="Arial" w:cs="Arial"/>
        </w:rPr>
        <w:t xml:space="preserve">border area with Norfolk and Suffolk </w:t>
      </w:r>
      <w:bookmarkEnd w:id="0"/>
      <w:r w:rsidRPr="00AB67C6">
        <w:rPr>
          <w:rFonts w:ascii="Arial" w:hAnsi="Arial" w:cs="Arial"/>
        </w:rPr>
        <w:t>must be approved before enrolment.</w:t>
      </w:r>
    </w:p>
    <w:p w14:paraId="4BC5D972" w14:textId="42B82982" w:rsidR="00545F3B" w:rsidRPr="003150AC" w:rsidRDefault="00A01D4B" w:rsidP="00AB67C6">
      <w:pPr>
        <w:spacing w:before="360" w:after="120"/>
        <w:rPr>
          <w:rFonts w:ascii="Arial" w:hAnsi="Arial" w:cs="Arial"/>
          <w:b/>
          <w:bCs/>
          <w:sz w:val="24"/>
          <w:szCs w:val="24"/>
        </w:rPr>
      </w:pPr>
      <w:r w:rsidRPr="6A1E0C88">
        <w:rPr>
          <w:rFonts w:ascii="Arial" w:hAnsi="Arial" w:cs="Arial"/>
          <w:b/>
          <w:bCs/>
          <w:sz w:val="24"/>
          <w:szCs w:val="24"/>
        </w:rPr>
        <w:t>Essential Skills Entitlement</w:t>
      </w:r>
      <w:r w:rsidR="42A76ADB" w:rsidRPr="6A1E0C88">
        <w:rPr>
          <w:rFonts w:ascii="Arial" w:hAnsi="Arial" w:cs="Arial"/>
          <w:b/>
          <w:bCs/>
          <w:sz w:val="24"/>
          <w:szCs w:val="24"/>
        </w:rPr>
        <w:t xml:space="preserve"> </w:t>
      </w:r>
      <w:r w:rsidR="3160039B" w:rsidRPr="6A1E0C88">
        <w:rPr>
          <w:rFonts w:ascii="Arial" w:hAnsi="Arial" w:cs="Arial"/>
          <w:b/>
          <w:bCs/>
          <w:sz w:val="24"/>
          <w:szCs w:val="24"/>
        </w:rPr>
        <w:t>- FREE</w:t>
      </w:r>
    </w:p>
    <w:p w14:paraId="0F024ED5" w14:textId="65C337C9" w:rsidR="00A01D4B" w:rsidRDefault="00A01D4B" w:rsidP="00545F3B">
      <w:pPr>
        <w:rPr>
          <w:rFonts w:ascii="Arial" w:hAnsi="Arial" w:cs="Arial"/>
        </w:rPr>
      </w:pPr>
      <w:r w:rsidRPr="6A1E0C88">
        <w:rPr>
          <w:rFonts w:ascii="Arial" w:hAnsi="Arial" w:cs="Arial"/>
        </w:rPr>
        <w:t xml:space="preserve">Learners exercising their essential skills entitlement will be </w:t>
      </w:r>
      <w:r w:rsidR="00082E42" w:rsidRPr="6A1E0C88">
        <w:rPr>
          <w:rFonts w:ascii="Arial" w:hAnsi="Arial" w:cs="Arial"/>
        </w:rPr>
        <w:t xml:space="preserve">fully funded for their learning and no fee will be charged. Courses covered within this entitlement are English, </w:t>
      </w:r>
      <w:r w:rsidR="00204031" w:rsidRPr="6A1E0C88">
        <w:rPr>
          <w:rFonts w:ascii="Arial" w:hAnsi="Arial" w:cs="Arial"/>
        </w:rPr>
        <w:t>M</w:t>
      </w:r>
      <w:r w:rsidR="00082E42" w:rsidRPr="6A1E0C88">
        <w:rPr>
          <w:rFonts w:ascii="Arial" w:hAnsi="Arial" w:cs="Arial"/>
        </w:rPr>
        <w:t xml:space="preserve">aths and certain digital courses and the course code will begin with the letter </w:t>
      </w:r>
      <w:r w:rsidRPr="6A1E0C88">
        <w:rPr>
          <w:rFonts w:ascii="Arial" w:hAnsi="Arial" w:cs="Arial"/>
        </w:rPr>
        <w:t>G or a J</w:t>
      </w:r>
      <w:r w:rsidR="00082E42" w:rsidRPr="6A1E0C88">
        <w:rPr>
          <w:rFonts w:ascii="Arial" w:hAnsi="Arial" w:cs="Arial"/>
        </w:rPr>
        <w:t>.</w:t>
      </w:r>
    </w:p>
    <w:p w14:paraId="15D7B00F" w14:textId="1D716002" w:rsidR="00082E42" w:rsidRPr="00082E42" w:rsidRDefault="00082E42" w:rsidP="00AB67C6">
      <w:pPr>
        <w:spacing w:before="360" w:after="120"/>
        <w:rPr>
          <w:rFonts w:ascii="Arial" w:hAnsi="Arial" w:cs="Arial"/>
          <w:b/>
          <w:bCs/>
          <w:sz w:val="24"/>
          <w:szCs w:val="24"/>
        </w:rPr>
      </w:pPr>
      <w:r w:rsidRPr="6A1E0C88">
        <w:rPr>
          <w:rFonts w:ascii="Arial" w:hAnsi="Arial" w:cs="Arial"/>
          <w:b/>
          <w:bCs/>
          <w:sz w:val="24"/>
          <w:szCs w:val="24"/>
        </w:rPr>
        <w:t>Courses Resulting in a Qualification (“Formula Funded”)</w:t>
      </w:r>
      <w:r w:rsidR="7EFD4250" w:rsidRPr="6A1E0C88">
        <w:rPr>
          <w:rFonts w:ascii="Arial" w:hAnsi="Arial" w:cs="Arial"/>
          <w:b/>
          <w:bCs/>
          <w:sz w:val="24"/>
          <w:szCs w:val="24"/>
        </w:rPr>
        <w:t xml:space="preserve"> – NOT FREE (DEPENDANT ON CONCESSION)</w:t>
      </w:r>
    </w:p>
    <w:p w14:paraId="79B7F3DC" w14:textId="7F1538CB" w:rsidR="00545F3B" w:rsidRDefault="00082E42" w:rsidP="00545F3B">
      <w:pPr>
        <w:rPr>
          <w:rFonts w:ascii="Arial" w:hAnsi="Arial" w:cs="Arial"/>
        </w:rPr>
      </w:pPr>
      <w:r>
        <w:rPr>
          <w:rFonts w:ascii="Arial" w:hAnsi="Arial" w:cs="Arial"/>
        </w:rPr>
        <w:t>Courses which usually result in a qualification have a course code which begins with the letter E, H or K. In those cases:</w:t>
      </w:r>
    </w:p>
    <w:p w14:paraId="40677C35" w14:textId="51128505" w:rsidR="0056527F" w:rsidRPr="0056527F" w:rsidRDefault="0056527F" w:rsidP="0056527F">
      <w:pPr>
        <w:spacing w:after="120"/>
        <w:rPr>
          <w:rFonts w:ascii="Arial" w:hAnsi="Arial" w:cs="Arial"/>
          <w:b/>
          <w:bCs/>
          <w:i/>
          <w:iCs/>
        </w:rPr>
      </w:pPr>
      <w:r w:rsidRPr="0056527F">
        <w:rPr>
          <w:rFonts w:ascii="Arial" w:hAnsi="Arial" w:cs="Arial"/>
          <w:b/>
          <w:bCs/>
          <w:i/>
          <w:iCs/>
        </w:rPr>
        <w:t>Employed/self-employed learners</w:t>
      </w:r>
    </w:p>
    <w:p w14:paraId="0DD2E2D4" w14:textId="5F5D0852" w:rsidR="0056527F" w:rsidRDefault="00082E42" w:rsidP="00545F3B">
      <w:pPr>
        <w:rPr>
          <w:rFonts w:ascii="Arial" w:hAnsi="Arial" w:cs="Arial"/>
        </w:rPr>
      </w:pPr>
      <w:r>
        <w:rPr>
          <w:rFonts w:ascii="Arial" w:hAnsi="Arial" w:cs="Arial"/>
        </w:rPr>
        <w:t>Learners who have earnings from employment or self-employment below £25,</w:t>
      </w:r>
      <w:r w:rsidR="00A210B2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0 gross will be fully funded for their learning and no fee will be charged. Learners will be required to show evidence of their annual gross </w:t>
      </w:r>
      <w:r w:rsidR="007C74F7">
        <w:rPr>
          <w:rFonts w:ascii="Arial" w:hAnsi="Arial" w:cs="Arial"/>
        </w:rPr>
        <w:t>earnings</w:t>
      </w:r>
      <w:r>
        <w:rPr>
          <w:rFonts w:ascii="Arial" w:hAnsi="Arial" w:cs="Arial"/>
        </w:rPr>
        <w:t xml:space="preserve">. Some examples of the evidence which we will accept are listed </w:t>
      </w:r>
      <w:r w:rsidR="00A41629">
        <w:rPr>
          <w:rFonts w:ascii="Arial" w:hAnsi="Arial" w:cs="Arial"/>
        </w:rPr>
        <w:t>in the “Evidence of Entitlement to Concessions” section of this policy</w:t>
      </w:r>
      <w:r>
        <w:rPr>
          <w:rFonts w:ascii="Arial" w:hAnsi="Arial" w:cs="Arial"/>
        </w:rPr>
        <w:t xml:space="preserve">. </w:t>
      </w:r>
    </w:p>
    <w:p w14:paraId="21132C78" w14:textId="237DB58C" w:rsidR="00545F3B" w:rsidRDefault="00082E42" w:rsidP="00545F3B">
      <w:pPr>
        <w:rPr>
          <w:rFonts w:ascii="Arial" w:hAnsi="Arial" w:cs="Arial"/>
        </w:rPr>
      </w:pPr>
      <w:r>
        <w:rPr>
          <w:rFonts w:ascii="Arial" w:hAnsi="Arial" w:cs="Arial"/>
        </w:rPr>
        <w:t>Those with annual gross earnings of £25,</w:t>
      </w:r>
      <w:r w:rsidR="00A210B2">
        <w:rPr>
          <w:rFonts w:ascii="Arial" w:hAnsi="Arial" w:cs="Arial"/>
        </w:rPr>
        <w:t>75</w:t>
      </w:r>
      <w:r>
        <w:rPr>
          <w:rFonts w:ascii="Arial" w:hAnsi="Arial" w:cs="Arial"/>
        </w:rPr>
        <w:t>0 and above</w:t>
      </w:r>
      <w:r w:rsidR="0056527F">
        <w:rPr>
          <w:rFonts w:ascii="Arial" w:hAnsi="Arial" w:cs="Arial"/>
        </w:rPr>
        <w:t xml:space="preserve"> will be partly funded by the </w:t>
      </w:r>
      <w:r w:rsidR="00A210B2">
        <w:rPr>
          <w:rFonts w:ascii="Arial" w:hAnsi="Arial" w:cs="Arial"/>
        </w:rPr>
        <w:t>DfE</w:t>
      </w:r>
      <w:r w:rsidR="0056527F">
        <w:rPr>
          <w:rFonts w:ascii="Arial" w:hAnsi="Arial" w:cs="Arial"/>
        </w:rPr>
        <w:t xml:space="preserve"> and will need to pay the remainder of the fee for their course, known as the “co-funded fee”.</w:t>
      </w:r>
    </w:p>
    <w:p w14:paraId="3C16B631" w14:textId="76053E27" w:rsidR="0056527F" w:rsidRPr="0056527F" w:rsidRDefault="0056527F" w:rsidP="00A41629">
      <w:pPr>
        <w:keepNext/>
        <w:spacing w:after="120"/>
        <w:rPr>
          <w:rFonts w:ascii="Arial" w:hAnsi="Arial" w:cs="Arial"/>
          <w:b/>
          <w:bCs/>
          <w:i/>
          <w:iCs/>
        </w:rPr>
      </w:pPr>
      <w:r w:rsidRPr="0056527F">
        <w:rPr>
          <w:rFonts w:ascii="Arial" w:hAnsi="Arial" w:cs="Arial"/>
          <w:b/>
          <w:bCs/>
          <w:i/>
          <w:iCs/>
        </w:rPr>
        <w:lastRenderedPageBreak/>
        <w:t>Learners without employment</w:t>
      </w:r>
    </w:p>
    <w:p w14:paraId="534AC21A" w14:textId="2B5A0CA7" w:rsidR="0056527F" w:rsidRDefault="0056527F" w:rsidP="00A41629">
      <w:pPr>
        <w:keepNext/>
        <w:spacing w:after="120"/>
        <w:rPr>
          <w:rFonts w:ascii="Arial" w:hAnsi="Arial" w:cs="Arial"/>
        </w:rPr>
      </w:pPr>
      <w:r>
        <w:rPr>
          <w:rFonts w:ascii="Arial" w:hAnsi="Arial" w:cs="Arial"/>
        </w:rPr>
        <w:t>Learners who do not have earnings from employment or self-employment will be fully funded if</w:t>
      </w:r>
      <w:r w:rsidR="005A6841">
        <w:rPr>
          <w:rFonts w:ascii="Arial" w:hAnsi="Arial" w:cs="Arial"/>
        </w:rPr>
        <w:t xml:space="preserve"> one of the following applies</w:t>
      </w:r>
      <w:r>
        <w:rPr>
          <w:rFonts w:ascii="Arial" w:hAnsi="Arial" w:cs="Arial"/>
        </w:rPr>
        <w:t>:</w:t>
      </w:r>
    </w:p>
    <w:p w14:paraId="287DA3E2" w14:textId="28EA9A74" w:rsidR="0056527F" w:rsidRDefault="0056527F" w:rsidP="00A41629">
      <w:pPr>
        <w:pStyle w:val="ListParagraph"/>
        <w:keepNext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They are in receipt of Job Seekers Allowance, Employment and Support Allowance or Universal Credit.</w:t>
      </w:r>
    </w:p>
    <w:p w14:paraId="27261DC9" w14:textId="38A4340A" w:rsidR="0056527F" w:rsidRDefault="0056527F" w:rsidP="00A41629">
      <w:pPr>
        <w:pStyle w:val="ListParagraph"/>
        <w:keepNext/>
        <w:numPr>
          <w:ilvl w:val="0"/>
          <w:numId w:val="6"/>
        </w:numPr>
        <w:rPr>
          <w:rFonts w:ascii="Arial" w:hAnsi="Arial" w:cs="Arial"/>
        </w:rPr>
      </w:pPr>
      <w:r w:rsidRPr="0056527F">
        <w:rPr>
          <w:rFonts w:ascii="Arial" w:hAnsi="Arial" w:cs="Arial"/>
        </w:rPr>
        <w:t>They are in receipt of Income Support, Personal Independence Payments, Disability Living Allowance, Carer’s Allowance, Pension Credit, Child Tax Credit or Housing Benefit</w:t>
      </w:r>
      <w:r w:rsidR="005A6841">
        <w:rPr>
          <w:rFonts w:ascii="Arial" w:hAnsi="Arial" w:cs="Arial"/>
        </w:rPr>
        <w:t>.</w:t>
      </w:r>
    </w:p>
    <w:p w14:paraId="612B0A9E" w14:textId="4C3FF60F" w:rsidR="0056527F" w:rsidRDefault="005652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They want to be employed and the learning they are taking </w:t>
      </w:r>
      <w:r w:rsidRPr="0056527F">
        <w:rPr>
          <w:rFonts w:ascii="Arial" w:hAnsi="Arial" w:cs="Arial"/>
        </w:rPr>
        <w:t>is directly relevant to their employment prospects and the local labour market needs</w:t>
      </w:r>
      <w:r w:rsidR="001C5A20">
        <w:rPr>
          <w:rFonts w:ascii="Arial" w:hAnsi="Arial" w:cs="Arial"/>
        </w:rPr>
        <w:t>.</w:t>
      </w:r>
    </w:p>
    <w:p w14:paraId="778B94AA" w14:textId="4FD06892" w:rsidR="001C5A20" w:rsidRPr="00082E42" w:rsidRDefault="001C5A20" w:rsidP="00AB67C6">
      <w:pPr>
        <w:spacing w:before="360" w:after="120"/>
        <w:rPr>
          <w:rFonts w:ascii="Arial" w:hAnsi="Arial" w:cs="Arial"/>
          <w:b/>
          <w:bCs/>
          <w:sz w:val="24"/>
          <w:szCs w:val="24"/>
        </w:rPr>
      </w:pPr>
      <w:r w:rsidRPr="00082E42">
        <w:rPr>
          <w:rFonts w:ascii="Arial" w:hAnsi="Arial" w:cs="Arial"/>
          <w:b/>
          <w:bCs/>
          <w:sz w:val="24"/>
          <w:szCs w:val="24"/>
        </w:rPr>
        <w:t xml:space="preserve">Courses </w:t>
      </w:r>
      <w:r>
        <w:rPr>
          <w:rFonts w:ascii="Arial" w:hAnsi="Arial" w:cs="Arial"/>
          <w:b/>
          <w:bCs/>
          <w:sz w:val="24"/>
          <w:szCs w:val="24"/>
        </w:rPr>
        <w:t>Without a Qualification (“Tailored Learning”)</w:t>
      </w:r>
    </w:p>
    <w:p w14:paraId="772664F3" w14:textId="7B457B33" w:rsidR="001C5A20" w:rsidRDefault="001C5A20" w:rsidP="001C5A20">
      <w:pPr>
        <w:rPr>
          <w:rFonts w:ascii="Arial" w:hAnsi="Arial" w:cs="Arial"/>
        </w:rPr>
      </w:pPr>
      <w:r>
        <w:rPr>
          <w:rFonts w:ascii="Arial" w:hAnsi="Arial" w:cs="Arial"/>
        </w:rPr>
        <w:t>Courses which do not result in a qualification have a course code which begins with the letter L or P. In those cases:</w:t>
      </w:r>
    </w:p>
    <w:p w14:paraId="5A8B53A1" w14:textId="63E248FA" w:rsidR="001C5A20" w:rsidRPr="0056527F" w:rsidRDefault="001C5A20" w:rsidP="001C5A20">
      <w:pPr>
        <w:spacing w:after="1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Learning </w:t>
      </w:r>
      <w:r w:rsidR="00D25727">
        <w:rPr>
          <w:rFonts w:ascii="Arial" w:hAnsi="Arial" w:cs="Arial"/>
          <w:b/>
          <w:bCs/>
          <w:i/>
          <w:iCs/>
        </w:rPr>
        <w:t>d</w:t>
      </w:r>
      <w:r>
        <w:rPr>
          <w:rFonts w:ascii="Arial" w:hAnsi="Arial" w:cs="Arial"/>
          <w:b/>
          <w:bCs/>
          <w:i/>
          <w:iCs/>
        </w:rPr>
        <w:t xml:space="preserve">elivered in </w:t>
      </w:r>
      <w:r w:rsidR="007C74F7">
        <w:rPr>
          <w:rFonts w:ascii="Arial" w:hAnsi="Arial" w:cs="Arial"/>
          <w:b/>
          <w:bCs/>
          <w:i/>
          <w:iCs/>
        </w:rPr>
        <w:t>p</w:t>
      </w:r>
      <w:r>
        <w:rPr>
          <w:rFonts w:ascii="Arial" w:hAnsi="Arial" w:cs="Arial"/>
          <w:b/>
          <w:bCs/>
          <w:i/>
          <w:iCs/>
        </w:rPr>
        <w:t>artnership</w:t>
      </w:r>
    </w:p>
    <w:p w14:paraId="779DC0A5" w14:textId="48982A04" w:rsidR="00545F3B" w:rsidRDefault="001C5A20" w:rsidP="001C5A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Realise Futures delivers a number of courses in partnership with a variety of local groups and other education/community organisations. These courses have the letter P at the beginning of the course code. Learners will not be charged a fee for their learning. </w:t>
      </w:r>
    </w:p>
    <w:p w14:paraId="264276B5" w14:textId="77777777" w:rsidR="001C5A20" w:rsidRPr="0056527F" w:rsidRDefault="001C5A20" w:rsidP="001C5A20">
      <w:pPr>
        <w:spacing w:after="120"/>
        <w:rPr>
          <w:rFonts w:ascii="Arial" w:hAnsi="Arial" w:cs="Arial"/>
          <w:b/>
          <w:bCs/>
          <w:i/>
          <w:iCs/>
        </w:rPr>
      </w:pPr>
      <w:r w:rsidRPr="0056527F">
        <w:rPr>
          <w:rFonts w:ascii="Arial" w:hAnsi="Arial" w:cs="Arial"/>
          <w:b/>
          <w:bCs/>
          <w:i/>
          <w:iCs/>
        </w:rPr>
        <w:t>Employed/self-employed learners</w:t>
      </w:r>
    </w:p>
    <w:p w14:paraId="55A5CAC2" w14:textId="3643B8CC" w:rsidR="001C5A20" w:rsidRDefault="001C5A20" w:rsidP="001C5A20">
      <w:pPr>
        <w:rPr>
          <w:rFonts w:ascii="Arial" w:hAnsi="Arial" w:cs="Arial"/>
        </w:rPr>
      </w:pPr>
      <w:r>
        <w:rPr>
          <w:rFonts w:ascii="Arial" w:hAnsi="Arial" w:cs="Arial"/>
        </w:rPr>
        <w:t>Learners who have earnings from employment or self-employment below £25,</w:t>
      </w:r>
      <w:r w:rsidR="00A210B2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0 gross will be fully funded for their learning and no fee will be charged. Learners will be required to show evidence of their annual gross </w:t>
      </w:r>
      <w:r w:rsidR="007C74F7">
        <w:rPr>
          <w:rFonts w:ascii="Arial" w:hAnsi="Arial" w:cs="Arial"/>
        </w:rPr>
        <w:t>earnings</w:t>
      </w:r>
      <w:r>
        <w:rPr>
          <w:rFonts w:ascii="Arial" w:hAnsi="Arial" w:cs="Arial"/>
        </w:rPr>
        <w:t xml:space="preserve">. Some examples of the evidence which we will accept are listed at the end of this policy. </w:t>
      </w:r>
    </w:p>
    <w:p w14:paraId="54605116" w14:textId="39311FCD" w:rsidR="001C5A20" w:rsidRDefault="001C5A20" w:rsidP="001C5A20">
      <w:pPr>
        <w:rPr>
          <w:rFonts w:ascii="Arial" w:hAnsi="Arial" w:cs="Arial"/>
        </w:rPr>
      </w:pPr>
      <w:r>
        <w:rPr>
          <w:rFonts w:ascii="Arial" w:hAnsi="Arial" w:cs="Arial"/>
        </w:rPr>
        <w:t>Those with annual gross earnings of £25,</w:t>
      </w:r>
      <w:r w:rsidR="00A210B2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0 and above will be partly funded by the </w:t>
      </w:r>
      <w:r w:rsidR="00A210B2">
        <w:rPr>
          <w:rFonts w:ascii="Arial" w:hAnsi="Arial" w:cs="Arial"/>
        </w:rPr>
        <w:t>DfE</w:t>
      </w:r>
      <w:r>
        <w:rPr>
          <w:rFonts w:ascii="Arial" w:hAnsi="Arial" w:cs="Arial"/>
        </w:rPr>
        <w:t xml:space="preserve"> and will need to pay the remainder of the fee for their course, known as the “co-funded fee”.</w:t>
      </w:r>
    </w:p>
    <w:p w14:paraId="3C99DACA" w14:textId="77777777" w:rsidR="001C5A20" w:rsidRPr="0056527F" w:rsidRDefault="001C5A20" w:rsidP="001C5A20">
      <w:pPr>
        <w:spacing w:after="120"/>
        <w:rPr>
          <w:rFonts w:ascii="Arial" w:hAnsi="Arial" w:cs="Arial"/>
          <w:b/>
          <w:bCs/>
          <w:i/>
          <w:iCs/>
        </w:rPr>
      </w:pPr>
      <w:r w:rsidRPr="0056527F">
        <w:rPr>
          <w:rFonts w:ascii="Arial" w:hAnsi="Arial" w:cs="Arial"/>
          <w:b/>
          <w:bCs/>
          <w:i/>
          <w:iCs/>
        </w:rPr>
        <w:t>Learners without employment</w:t>
      </w:r>
    </w:p>
    <w:p w14:paraId="3EDEFE81" w14:textId="77777777" w:rsidR="005363E6" w:rsidRDefault="001C5A20" w:rsidP="005363E6">
      <w:pPr>
        <w:keepNext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Learners who do not have earnings from employment or self-employment will be fully funded </w:t>
      </w:r>
      <w:r w:rsidR="005363E6">
        <w:rPr>
          <w:rFonts w:ascii="Arial" w:hAnsi="Arial" w:cs="Arial"/>
        </w:rPr>
        <w:t>if one of the following applies:</w:t>
      </w:r>
    </w:p>
    <w:p w14:paraId="08A15123" w14:textId="0BD66558" w:rsidR="00A41629" w:rsidRPr="00A41629" w:rsidRDefault="001C5A20" w:rsidP="007C74F7">
      <w:pPr>
        <w:pStyle w:val="ListParagraph"/>
        <w:keepNext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They are in receipt of Job Seekers Allowance, Employment and Support Allowance or Universal Credit.</w:t>
      </w:r>
    </w:p>
    <w:p w14:paraId="78C5975A" w14:textId="103A2EE6" w:rsidR="001C5A20" w:rsidRDefault="001C5A20" w:rsidP="001C5A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6527F">
        <w:rPr>
          <w:rFonts w:ascii="Arial" w:hAnsi="Arial" w:cs="Arial"/>
        </w:rPr>
        <w:t>They are in receipt of Income Support, Personal Independence Payments, Disability Living Allowance, Carer’s Allowance, Pension Credit, Child Tax Credit or Housing Benefit</w:t>
      </w:r>
      <w:r w:rsidR="007C74F7">
        <w:rPr>
          <w:rFonts w:ascii="Arial" w:hAnsi="Arial" w:cs="Arial"/>
        </w:rPr>
        <w:t>.</w:t>
      </w:r>
    </w:p>
    <w:p w14:paraId="4F4C53A0" w14:textId="47C5023E" w:rsidR="001C5A20" w:rsidRDefault="001C5A20" w:rsidP="001C5A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They are joining the course for one of the following reasons:</w:t>
      </w:r>
    </w:p>
    <w:p w14:paraId="6EF8CE53" w14:textId="77777777" w:rsidR="001C5A20" w:rsidRPr="001C5A20" w:rsidRDefault="001C5A20" w:rsidP="001C5A2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C5A20">
        <w:rPr>
          <w:rFonts w:ascii="Arial" w:hAnsi="Arial" w:cs="Arial"/>
        </w:rPr>
        <w:t>Engaging and/or building confidence</w:t>
      </w:r>
    </w:p>
    <w:p w14:paraId="5A102768" w14:textId="77777777" w:rsidR="001C5A20" w:rsidRPr="001C5A20" w:rsidRDefault="001C5A20" w:rsidP="001C5A2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C5A20">
        <w:rPr>
          <w:rFonts w:ascii="Arial" w:hAnsi="Arial" w:cs="Arial"/>
        </w:rPr>
        <w:t>Preparation for further learning</w:t>
      </w:r>
    </w:p>
    <w:p w14:paraId="38C4B84B" w14:textId="77777777" w:rsidR="001C5A20" w:rsidRPr="001C5A20" w:rsidRDefault="001C5A20" w:rsidP="001C5A2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C5A20">
        <w:rPr>
          <w:rFonts w:ascii="Arial" w:hAnsi="Arial" w:cs="Arial"/>
        </w:rPr>
        <w:t>Preparation for employment</w:t>
      </w:r>
    </w:p>
    <w:p w14:paraId="6DDEE438" w14:textId="77777777" w:rsidR="001C5A20" w:rsidRPr="001C5A20" w:rsidRDefault="001C5A20" w:rsidP="001C5A2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C5A20">
        <w:rPr>
          <w:rFonts w:ascii="Arial" w:hAnsi="Arial" w:cs="Arial"/>
        </w:rPr>
        <w:t>Improving essential skills (English, ESOL, maths, digital)</w:t>
      </w:r>
    </w:p>
    <w:p w14:paraId="1AE6236B" w14:textId="77777777" w:rsidR="001C5A20" w:rsidRPr="001C5A20" w:rsidRDefault="001C5A20" w:rsidP="001C5A2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C5A20">
        <w:rPr>
          <w:rFonts w:ascii="Arial" w:hAnsi="Arial" w:cs="Arial"/>
        </w:rPr>
        <w:t>Equipping parents/carers to support children’s learning</w:t>
      </w:r>
    </w:p>
    <w:p w14:paraId="09E98914" w14:textId="77777777" w:rsidR="001C5A20" w:rsidRPr="001C5A20" w:rsidRDefault="001C5A20" w:rsidP="001C5A2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C5A20">
        <w:rPr>
          <w:rFonts w:ascii="Arial" w:hAnsi="Arial" w:cs="Arial"/>
        </w:rPr>
        <w:t>Health and well-being</w:t>
      </w:r>
    </w:p>
    <w:p w14:paraId="122C9118" w14:textId="5F3C897F" w:rsidR="001C5A20" w:rsidRDefault="001C5A20" w:rsidP="001C5A2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C5A20">
        <w:rPr>
          <w:rFonts w:ascii="Arial" w:hAnsi="Arial" w:cs="Arial"/>
        </w:rPr>
        <w:t>Developing stronger communities</w:t>
      </w:r>
    </w:p>
    <w:p w14:paraId="09B173D2" w14:textId="063456C4" w:rsidR="00AB67C6" w:rsidRPr="00AB67C6" w:rsidRDefault="00AB67C6" w:rsidP="00AB67C6">
      <w:pPr>
        <w:spacing w:before="360" w:after="120"/>
        <w:rPr>
          <w:rFonts w:ascii="Arial" w:hAnsi="Arial" w:cs="Arial"/>
          <w:b/>
          <w:bCs/>
          <w:sz w:val="24"/>
          <w:szCs w:val="24"/>
        </w:rPr>
      </w:pPr>
      <w:r w:rsidRPr="00AB67C6">
        <w:rPr>
          <w:rFonts w:ascii="Arial" w:hAnsi="Arial" w:cs="Arial"/>
          <w:b/>
          <w:bCs/>
          <w:sz w:val="24"/>
          <w:szCs w:val="24"/>
        </w:rPr>
        <w:t>Evidence of Entitlement to Concessions</w:t>
      </w:r>
    </w:p>
    <w:p w14:paraId="32284E8B" w14:textId="77777777" w:rsidR="00A41629" w:rsidRPr="0056527F" w:rsidRDefault="00A41629" w:rsidP="00A41629">
      <w:pPr>
        <w:spacing w:after="120"/>
        <w:rPr>
          <w:rFonts w:ascii="Arial" w:hAnsi="Arial" w:cs="Arial"/>
          <w:b/>
          <w:bCs/>
          <w:i/>
          <w:iCs/>
        </w:rPr>
      </w:pPr>
      <w:r w:rsidRPr="0056527F">
        <w:rPr>
          <w:rFonts w:ascii="Arial" w:hAnsi="Arial" w:cs="Arial"/>
          <w:b/>
          <w:bCs/>
          <w:i/>
          <w:iCs/>
        </w:rPr>
        <w:t>Employed/self-employed learners</w:t>
      </w:r>
    </w:p>
    <w:p w14:paraId="4806E6B7" w14:textId="4D1B9A4E" w:rsidR="00A41629" w:rsidRDefault="00A41629" w:rsidP="00AB67C6">
      <w:pPr>
        <w:rPr>
          <w:rFonts w:ascii="Arial" w:hAnsi="Arial" w:cs="Arial"/>
        </w:rPr>
      </w:pPr>
      <w:r>
        <w:rPr>
          <w:rFonts w:ascii="Arial" w:hAnsi="Arial" w:cs="Arial"/>
        </w:rPr>
        <w:t>All learners will be asked to provide evidence of their gross annual earnings. The following evidence will be accepted:</w:t>
      </w:r>
    </w:p>
    <w:p w14:paraId="0374AD99" w14:textId="1B69E6E9" w:rsidR="007C74F7" w:rsidRDefault="007C74F7" w:rsidP="00A4162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A41629">
        <w:rPr>
          <w:rFonts w:ascii="Arial" w:hAnsi="Arial" w:cs="Arial"/>
        </w:rPr>
        <w:t>niversal credit statement</w:t>
      </w:r>
    </w:p>
    <w:p w14:paraId="6A40DA49" w14:textId="65798F20" w:rsidR="00A41629" w:rsidRPr="00A41629" w:rsidRDefault="00A41629" w:rsidP="00A4162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41629">
        <w:rPr>
          <w:rFonts w:ascii="Arial" w:hAnsi="Arial" w:cs="Arial"/>
        </w:rPr>
        <w:t>recent payslip (normally one</w:t>
      </w:r>
      <w:r w:rsidR="007C74F7">
        <w:rPr>
          <w:rFonts w:ascii="Arial" w:hAnsi="Arial" w:cs="Arial"/>
        </w:rPr>
        <w:t>,</w:t>
      </w:r>
      <w:r w:rsidRPr="00A41629">
        <w:rPr>
          <w:rFonts w:ascii="Arial" w:hAnsi="Arial" w:cs="Arial"/>
        </w:rPr>
        <w:t xml:space="preserve"> but we may ask to see more if the wage varies)</w:t>
      </w:r>
    </w:p>
    <w:p w14:paraId="55030593" w14:textId="77777777" w:rsidR="00A41629" w:rsidRPr="00A41629" w:rsidRDefault="00A41629" w:rsidP="00A4162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41629">
        <w:rPr>
          <w:rFonts w:ascii="Arial" w:hAnsi="Arial" w:cs="Arial"/>
        </w:rPr>
        <w:t>letter from employer confirming annual gross salary</w:t>
      </w:r>
    </w:p>
    <w:p w14:paraId="6FF9B72F" w14:textId="4B262FFD" w:rsidR="00A41629" w:rsidRPr="00A41629" w:rsidRDefault="00A41629" w:rsidP="00A4162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41629">
        <w:rPr>
          <w:rFonts w:ascii="Arial" w:hAnsi="Arial" w:cs="Arial"/>
        </w:rPr>
        <w:t xml:space="preserve">offer letter/contract for a learner </w:t>
      </w:r>
      <w:r w:rsidR="00BE2F6D" w:rsidRPr="00A41629">
        <w:rPr>
          <w:rFonts w:ascii="Arial" w:hAnsi="Arial" w:cs="Arial"/>
        </w:rPr>
        <w:t>whose</w:t>
      </w:r>
      <w:r w:rsidRPr="00A41629">
        <w:rPr>
          <w:rFonts w:ascii="Arial" w:hAnsi="Arial" w:cs="Arial"/>
        </w:rPr>
        <w:t xml:space="preserve"> employment has started recently</w:t>
      </w:r>
    </w:p>
    <w:p w14:paraId="59F57DA9" w14:textId="77777777" w:rsidR="00A41629" w:rsidRPr="00A41629" w:rsidRDefault="00A41629" w:rsidP="00A4162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41629">
        <w:rPr>
          <w:rFonts w:ascii="Arial" w:hAnsi="Arial" w:cs="Arial"/>
        </w:rPr>
        <w:t>P60 if within 3 months</w:t>
      </w:r>
    </w:p>
    <w:p w14:paraId="39E29257" w14:textId="77777777" w:rsidR="00A41629" w:rsidRPr="00A41629" w:rsidRDefault="00A41629" w:rsidP="00A4162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41629">
        <w:rPr>
          <w:rFonts w:ascii="Arial" w:hAnsi="Arial" w:cs="Arial"/>
        </w:rPr>
        <w:lastRenderedPageBreak/>
        <w:t>letter from accountant showing profit before income tax</w:t>
      </w:r>
    </w:p>
    <w:p w14:paraId="4414D432" w14:textId="77777777" w:rsidR="00A41629" w:rsidRPr="00A41629" w:rsidRDefault="00A41629" w:rsidP="00A4162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41629">
        <w:rPr>
          <w:rFonts w:ascii="Arial" w:hAnsi="Arial" w:cs="Arial"/>
        </w:rPr>
        <w:t>annual statement of accounts</w:t>
      </w:r>
    </w:p>
    <w:p w14:paraId="67BB08D2" w14:textId="6E1D4BAB" w:rsidR="00A41629" w:rsidRDefault="00A41629" w:rsidP="00253AEB">
      <w:pPr>
        <w:pStyle w:val="ListParagraph"/>
        <w:numPr>
          <w:ilvl w:val="0"/>
          <w:numId w:val="6"/>
        </w:numPr>
        <w:ind w:left="714" w:hanging="357"/>
        <w:rPr>
          <w:rFonts w:ascii="Arial" w:hAnsi="Arial" w:cs="Arial"/>
        </w:rPr>
      </w:pPr>
      <w:r w:rsidRPr="00A41629">
        <w:rPr>
          <w:rFonts w:ascii="Arial" w:hAnsi="Arial" w:cs="Arial"/>
        </w:rPr>
        <w:t>self-assessment income tax return</w:t>
      </w:r>
    </w:p>
    <w:p w14:paraId="5CC5476C" w14:textId="0C4345E9" w:rsidR="007C74F7" w:rsidRDefault="007C74F7" w:rsidP="007C74F7">
      <w:pPr>
        <w:rPr>
          <w:rFonts w:ascii="Arial" w:hAnsi="Arial" w:cs="Arial"/>
        </w:rPr>
      </w:pPr>
      <w:r>
        <w:rPr>
          <w:rFonts w:ascii="Arial" w:hAnsi="Arial" w:cs="Arial"/>
        </w:rPr>
        <w:t>This list is not exhaustive</w:t>
      </w:r>
      <w:r w:rsidR="00253AEB">
        <w:rPr>
          <w:rFonts w:ascii="Arial" w:hAnsi="Arial" w:cs="Arial"/>
        </w:rPr>
        <w:t xml:space="preserve">. If a learner cannot provide one of the above </w:t>
      </w:r>
      <w:r w:rsidR="00BE2F6D">
        <w:rPr>
          <w:rFonts w:ascii="Arial" w:hAnsi="Arial" w:cs="Arial"/>
        </w:rPr>
        <w:t>types of evidence,</w:t>
      </w:r>
      <w:r w:rsidR="00253AEB">
        <w:rPr>
          <w:rFonts w:ascii="Arial" w:hAnsi="Arial" w:cs="Arial"/>
        </w:rPr>
        <w:t xml:space="preserve"> they should discuss alternative types of evidence with us.</w:t>
      </w:r>
    </w:p>
    <w:p w14:paraId="4C277B15" w14:textId="77777777" w:rsidR="007C74F7" w:rsidRPr="007C74F7" w:rsidRDefault="007C74F7" w:rsidP="007C74F7">
      <w:pPr>
        <w:spacing w:after="120"/>
        <w:rPr>
          <w:rFonts w:ascii="Arial" w:hAnsi="Arial" w:cs="Arial"/>
          <w:b/>
          <w:bCs/>
          <w:i/>
          <w:iCs/>
        </w:rPr>
      </w:pPr>
      <w:r w:rsidRPr="007C74F7">
        <w:rPr>
          <w:rFonts w:ascii="Arial" w:hAnsi="Arial" w:cs="Arial"/>
          <w:b/>
          <w:bCs/>
          <w:i/>
          <w:iCs/>
        </w:rPr>
        <w:t>Learners without employment</w:t>
      </w:r>
    </w:p>
    <w:p w14:paraId="4D2D16D1" w14:textId="7BFFBA7D" w:rsidR="00AB67C6" w:rsidRDefault="00AB67C6" w:rsidP="00AB67C6">
      <w:pPr>
        <w:rPr>
          <w:rFonts w:ascii="Arial" w:hAnsi="Arial" w:cs="Arial"/>
        </w:rPr>
      </w:pPr>
      <w:r w:rsidRPr="00A41629">
        <w:rPr>
          <w:rFonts w:ascii="Arial" w:hAnsi="Arial" w:cs="Arial"/>
        </w:rPr>
        <w:t xml:space="preserve">For courses which carry a fee, learners may be asked to provide relevant evidence of their entitlement to a remission of that fee. The evidence required will be evidence of benefits such as a benefit award letter or </w:t>
      </w:r>
      <w:r w:rsidR="001A4F6E" w:rsidRPr="00A41629">
        <w:rPr>
          <w:rFonts w:ascii="Arial" w:hAnsi="Arial" w:cs="Arial"/>
        </w:rPr>
        <w:t>Universal Credit</w:t>
      </w:r>
      <w:r w:rsidRPr="00A41629">
        <w:rPr>
          <w:rFonts w:ascii="Arial" w:hAnsi="Arial" w:cs="Arial"/>
        </w:rPr>
        <w:t xml:space="preserve"> statement</w:t>
      </w:r>
      <w:r w:rsidR="00253AEB">
        <w:rPr>
          <w:rFonts w:ascii="Arial" w:hAnsi="Arial" w:cs="Arial"/>
        </w:rPr>
        <w:t xml:space="preserve">. </w:t>
      </w:r>
      <w:r w:rsidRPr="00A41629">
        <w:rPr>
          <w:rFonts w:ascii="Arial" w:hAnsi="Arial" w:cs="Arial"/>
        </w:rPr>
        <w:t>We do not require evidence where the learner has been placed to the course by their Job Centre Plus advisor</w:t>
      </w:r>
      <w:r w:rsidR="001A4F6E">
        <w:rPr>
          <w:rFonts w:ascii="Arial" w:hAnsi="Arial" w:cs="Arial"/>
        </w:rPr>
        <w:t>,</w:t>
      </w:r>
      <w:r w:rsidRPr="00A41629">
        <w:rPr>
          <w:rFonts w:ascii="Arial" w:hAnsi="Arial" w:cs="Arial"/>
        </w:rPr>
        <w:t xml:space="preserve"> unless proof of low wage is required.</w:t>
      </w:r>
    </w:p>
    <w:p w14:paraId="4CDBF5F5" w14:textId="61DFDD33" w:rsidR="00AB67C6" w:rsidRPr="00AB67C6" w:rsidRDefault="00AB67C6" w:rsidP="00AB67C6">
      <w:pPr>
        <w:spacing w:before="360" w:after="120"/>
        <w:rPr>
          <w:rFonts w:ascii="Arial" w:hAnsi="Arial" w:cs="Arial"/>
          <w:b/>
          <w:bCs/>
          <w:sz w:val="24"/>
          <w:szCs w:val="24"/>
        </w:rPr>
      </w:pPr>
      <w:r w:rsidRPr="00AB67C6">
        <w:rPr>
          <w:rFonts w:ascii="Arial" w:hAnsi="Arial" w:cs="Arial"/>
          <w:b/>
          <w:bCs/>
          <w:sz w:val="24"/>
          <w:szCs w:val="24"/>
        </w:rPr>
        <w:t>Pricing Policy</w:t>
      </w:r>
    </w:p>
    <w:p w14:paraId="7F5365A0" w14:textId="15EC1797" w:rsidR="00AB67C6" w:rsidRDefault="00AB67C6" w:rsidP="00AB67C6">
      <w:pPr>
        <w:rPr>
          <w:rFonts w:ascii="Arial" w:hAnsi="Arial" w:cs="Arial"/>
        </w:rPr>
      </w:pPr>
      <w:r>
        <w:rPr>
          <w:rFonts w:ascii="Arial" w:hAnsi="Arial" w:cs="Arial"/>
        </w:rPr>
        <w:t>Where fees are chargeable, a specific fee will be set</w:t>
      </w:r>
      <w:r w:rsidR="00253AEB">
        <w:rPr>
          <w:rFonts w:ascii="Arial" w:hAnsi="Arial" w:cs="Arial"/>
        </w:rPr>
        <w:t xml:space="preserve"> for that course</w:t>
      </w:r>
      <w:r>
        <w:rPr>
          <w:rFonts w:ascii="Arial" w:hAnsi="Arial" w:cs="Arial"/>
        </w:rPr>
        <w:t xml:space="preserve">. Fees vary, and </w:t>
      </w:r>
      <w:r w:rsidR="00253AEB">
        <w:rPr>
          <w:rFonts w:ascii="Arial" w:hAnsi="Arial" w:cs="Arial"/>
        </w:rPr>
        <w:t xml:space="preserve">one of our team will be able to advise. </w:t>
      </w:r>
      <w:r>
        <w:rPr>
          <w:rFonts w:ascii="Arial" w:hAnsi="Arial" w:cs="Arial"/>
        </w:rPr>
        <w:t xml:space="preserve">As a </w:t>
      </w:r>
      <w:r w:rsidR="00253AEB">
        <w:rPr>
          <w:rFonts w:ascii="Arial" w:hAnsi="Arial" w:cs="Arial"/>
        </w:rPr>
        <w:t xml:space="preserve">broad </w:t>
      </w:r>
      <w:r>
        <w:rPr>
          <w:rFonts w:ascii="Arial" w:hAnsi="Arial" w:cs="Arial"/>
        </w:rPr>
        <w:t xml:space="preserve">rule of thumb, </w:t>
      </w:r>
      <w:r w:rsidR="00253AE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earners paying a co-funded rate will pay £4.50 per hour </w:t>
      </w:r>
      <w:r w:rsidR="00253AEB">
        <w:rPr>
          <w:rFonts w:ascii="Arial" w:hAnsi="Arial" w:cs="Arial"/>
        </w:rPr>
        <w:t xml:space="preserve">and those paying the full cost rate will pay £10 per hour. In either case, if the course is accredited an </w:t>
      </w:r>
      <w:r w:rsidR="00D25727">
        <w:rPr>
          <w:rFonts w:ascii="Arial" w:hAnsi="Arial" w:cs="Arial"/>
        </w:rPr>
        <w:t>accreditation</w:t>
      </w:r>
      <w:r w:rsidR="00253AEB">
        <w:rPr>
          <w:rFonts w:ascii="Arial" w:hAnsi="Arial" w:cs="Arial"/>
        </w:rPr>
        <w:t xml:space="preserve"> fee will also be charged. </w:t>
      </w:r>
    </w:p>
    <w:p w14:paraId="4D7FE41F" w14:textId="5060A348" w:rsidR="00253AEB" w:rsidRPr="00253AEB" w:rsidRDefault="00253AEB" w:rsidP="00253AEB">
      <w:pPr>
        <w:spacing w:before="360" w:after="120"/>
        <w:rPr>
          <w:rFonts w:ascii="Arial" w:hAnsi="Arial" w:cs="Arial"/>
          <w:b/>
          <w:bCs/>
          <w:sz w:val="24"/>
          <w:szCs w:val="24"/>
        </w:rPr>
      </w:pPr>
      <w:r w:rsidRPr="00253AEB">
        <w:rPr>
          <w:rFonts w:ascii="Arial" w:hAnsi="Arial" w:cs="Arial"/>
          <w:b/>
          <w:bCs/>
          <w:sz w:val="24"/>
          <w:szCs w:val="24"/>
        </w:rPr>
        <w:t xml:space="preserve">Instalments, Refunds, </w:t>
      </w:r>
      <w:r w:rsidR="00BE2F6D" w:rsidRPr="00253AEB">
        <w:rPr>
          <w:rFonts w:ascii="Arial" w:hAnsi="Arial" w:cs="Arial"/>
          <w:b/>
          <w:bCs/>
          <w:sz w:val="24"/>
          <w:szCs w:val="24"/>
        </w:rPr>
        <w:t>etc.</w:t>
      </w:r>
    </w:p>
    <w:p w14:paraId="6C3FE461" w14:textId="020DCF5A" w:rsidR="00253AEB" w:rsidRDefault="00253AEB" w:rsidP="00AB67C6">
      <w:pPr>
        <w:rPr>
          <w:rFonts w:ascii="Arial" w:hAnsi="Arial" w:cs="Arial"/>
        </w:rPr>
      </w:pPr>
      <w:r w:rsidRPr="00253AEB">
        <w:rPr>
          <w:rFonts w:ascii="Arial" w:hAnsi="Arial" w:cs="Arial"/>
        </w:rPr>
        <w:t>Please refer to the Payment Terms</w:t>
      </w:r>
      <w:r>
        <w:rPr>
          <w:rFonts w:ascii="Arial" w:hAnsi="Arial" w:cs="Arial"/>
        </w:rPr>
        <w:t xml:space="preserve"> document</w:t>
      </w:r>
      <w:r w:rsidRPr="00253AEB">
        <w:rPr>
          <w:rFonts w:ascii="Arial" w:hAnsi="Arial" w:cs="Arial"/>
        </w:rPr>
        <w:t>. All refunds and any non-standard instalment patterns must be agreed with the relevant Learning Manager</w:t>
      </w:r>
      <w:r>
        <w:rPr>
          <w:rFonts w:ascii="Arial" w:hAnsi="Arial" w:cs="Arial"/>
        </w:rPr>
        <w:t>.</w:t>
      </w:r>
    </w:p>
    <w:p w14:paraId="1009D161" w14:textId="77777777" w:rsidR="00DB4D3A" w:rsidRPr="00DB4D3A" w:rsidRDefault="00DB4D3A" w:rsidP="00DB4D3A">
      <w:pPr>
        <w:rPr>
          <w:rFonts w:ascii="Arial" w:hAnsi="Arial" w:cs="Arial"/>
        </w:rPr>
      </w:pPr>
    </w:p>
    <w:p w14:paraId="447B88B7" w14:textId="77777777" w:rsidR="00DB4D3A" w:rsidRPr="00DB4D3A" w:rsidRDefault="00DB4D3A" w:rsidP="00DB4D3A">
      <w:pPr>
        <w:rPr>
          <w:rFonts w:ascii="Arial" w:hAnsi="Arial" w:cs="Arial"/>
        </w:rPr>
      </w:pPr>
    </w:p>
    <w:p w14:paraId="61428B74" w14:textId="77777777" w:rsidR="00DB4D3A" w:rsidRPr="00DB4D3A" w:rsidRDefault="00DB4D3A" w:rsidP="00DB4D3A">
      <w:pPr>
        <w:rPr>
          <w:rFonts w:ascii="Arial" w:hAnsi="Arial" w:cs="Arial"/>
        </w:rPr>
      </w:pPr>
    </w:p>
    <w:p w14:paraId="2823BA73" w14:textId="77777777" w:rsidR="00DB4D3A" w:rsidRPr="00DB4D3A" w:rsidRDefault="00DB4D3A" w:rsidP="00DB4D3A">
      <w:pPr>
        <w:rPr>
          <w:rFonts w:ascii="Arial" w:hAnsi="Arial" w:cs="Arial"/>
        </w:rPr>
      </w:pPr>
    </w:p>
    <w:p w14:paraId="114B06BA" w14:textId="77777777" w:rsidR="00DB4D3A" w:rsidRPr="00DB4D3A" w:rsidRDefault="00DB4D3A" w:rsidP="00DB4D3A">
      <w:pPr>
        <w:rPr>
          <w:rFonts w:ascii="Arial" w:hAnsi="Arial" w:cs="Arial"/>
        </w:rPr>
      </w:pPr>
    </w:p>
    <w:p w14:paraId="7215E275" w14:textId="77777777" w:rsidR="00DB4D3A" w:rsidRPr="00DB4D3A" w:rsidRDefault="00DB4D3A" w:rsidP="00DB4D3A">
      <w:pPr>
        <w:rPr>
          <w:rFonts w:ascii="Arial" w:hAnsi="Arial" w:cs="Arial"/>
        </w:rPr>
      </w:pPr>
    </w:p>
    <w:p w14:paraId="540AE76F" w14:textId="77777777" w:rsidR="00DB4D3A" w:rsidRPr="00DB4D3A" w:rsidRDefault="00DB4D3A" w:rsidP="00DB4D3A">
      <w:pPr>
        <w:rPr>
          <w:rFonts w:ascii="Arial" w:hAnsi="Arial" w:cs="Arial"/>
        </w:rPr>
      </w:pPr>
    </w:p>
    <w:p w14:paraId="39708F3B" w14:textId="77777777" w:rsidR="00DB4D3A" w:rsidRPr="00DB4D3A" w:rsidRDefault="00DB4D3A" w:rsidP="00DB4D3A">
      <w:pPr>
        <w:rPr>
          <w:rFonts w:ascii="Arial" w:hAnsi="Arial" w:cs="Arial"/>
        </w:rPr>
      </w:pPr>
    </w:p>
    <w:p w14:paraId="0B26E627" w14:textId="77777777" w:rsidR="00DB4D3A" w:rsidRPr="00DB4D3A" w:rsidRDefault="00DB4D3A" w:rsidP="00DB4D3A">
      <w:pPr>
        <w:rPr>
          <w:rFonts w:ascii="Arial" w:hAnsi="Arial" w:cs="Arial"/>
        </w:rPr>
      </w:pPr>
    </w:p>
    <w:p w14:paraId="456F3A05" w14:textId="77777777" w:rsidR="00DB4D3A" w:rsidRPr="00DB4D3A" w:rsidRDefault="00DB4D3A" w:rsidP="00DB4D3A">
      <w:pPr>
        <w:rPr>
          <w:rFonts w:ascii="Arial" w:hAnsi="Arial" w:cs="Arial"/>
        </w:rPr>
      </w:pPr>
    </w:p>
    <w:p w14:paraId="59247E09" w14:textId="77777777" w:rsidR="00DB4D3A" w:rsidRPr="00DB4D3A" w:rsidRDefault="00DB4D3A" w:rsidP="00DB4D3A">
      <w:pPr>
        <w:rPr>
          <w:rFonts w:ascii="Arial" w:hAnsi="Arial" w:cs="Arial"/>
        </w:rPr>
      </w:pPr>
    </w:p>
    <w:p w14:paraId="7A928330" w14:textId="77777777" w:rsidR="00DB4D3A" w:rsidRPr="00DB4D3A" w:rsidRDefault="00DB4D3A" w:rsidP="00DB4D3A">
      <w:pPr>
        <w:rPr>
          <w:rFonts w:ascii="Arial" w:hAnsi="Arial" w:cs="Arial"/>
        </w:rPr>
      </w:pPr>
    </w:p>
    <w:p w14:paraId="1319E901" w14:textId="77777777" w:rsidR="00DB4D3A" w:rsidRPr="00DB4D3A" w:rsidRDefault="00DB4D3A" w:rsidP="00DB4D3A">
      <w:pPr>
        <w:rPr>
          <w:rFonts w:ascii="Arial" w:hAnsi="Arial" w:cs="Arial"/>
        </w:rPr>
      </w:pPr>
    </w:p>
    <w:p w14:paraId="4F53A54D" w14:textId="77777777" w:rsidR="00DB4D3A" w:rsidRPr="00DB4D3A" w:rsidRDefault="00DB4D3A" w:rsidP="00DB4D3A">
      <w:pPr>
        <w:rPr>
          <w:rFonts w:ascii="Arial" w:hAnsi="Arial" w:cs="Arial"/>
        </w:rPr>
      </w:pPr>
    </w:p>
    <w:p w14:paraId="37DE0E39" w14:textId="77777777" w:rsidR="00DB4D3A" w:rsidRPr="00DB4D3A" w:rsidRDefault="00DB4D3A" w:rsidP="00DB4D3A">
      <w:pPr>
        <w:rPr>
          <w:rFonts w:ascii="Arial" w:hAnsi="Arial" w:cs="Arial"/>
        </w:rPr>
      </w:pPr>
    </w:p>
    <w:p w14:paraId="5F907178" w14:textId="77777777" w:rsidR="00DB4D3A" w:rsidRPr="00DB4D3A" w:rsidRDefault="00DB4D3A" w:rsidP="00DB4D3A">
      <w:pPr>
        <w:rPr>
          <w:rFonts w:ascii="Arial" w:hAnsi="Arial" w:cs="Arial"/>
        </w:rPr>
      </w:pPr>
    </w:p>
    <w:p w14:paraId="0490A4D1" w14:textId="77777777" w:rsidR="00DB4D3A" w:rsidRPr="00DB4D3A" w:rsidRDefault="00DB4D3A" w:rsidP="00DB4D3A">
      <w:pPr>
        <w:rPr>
          <w:rFonts w:ascii="Arial" w:hAnsi="Arial" w:cs="Arial"/>
        </w:rPr>
      </w:pPr>
    </w:p>
    <w:p w14:paraId="3F909E2A" w14:textId="77777777" w:rsidR="00DB4D3A" w:rsidRPr="00DB4D3A" w:rsidRDefault="00DB4D3A" w:rsidP="00DB4D3A">
      <w:pPr>
        <w:ind w:firstLine="720"/>
        <w:rPr>
          <w:rFonts w:ascii="Arial" w:hAnsi="Arial" w:cs="Arial"/>
        </w:rPr>
      </w:pPr>
    </w:p>
    <w:sectPr w:rsidR="00DB4D3A" w:rsidRPr="00DB4D3A" w:rsidSect="00A737F2">
      <w:headerReference w:type="default" r:id="rId14"/>
      <w:footerReference w:type="default" r:id="rId15"/>
      <w:pgSz w:w="11906" w:h="16838" w:code="9"/>
      <w:pgMar w:top="340" w:right="567" w:bottom="39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8369D" w14:textId="77777777" w:rsidR="001C721D" w:rsidRDefault="001C721D" w:rsidP="002B78A3">
      <w:pPr>
        <w:spacing w:after="0" w:line="240" w:lineRule="auto"/>
      </w:pPr>
      <w:r>
        <w:separator/>
      </w:r>
    </w:p>
  </w:endnote>
  <w:endnote w:type="continuationSeparator" w:id="0">
    <w:p w14:paraId="0DC4C52C" w14:textId="77777777" w:rsidR="001C721D" w:rsidRDefault="001C721D" w:rsidP="002B78A3">
      <w:pPr>
        <w:spacing w:after="0" w:line="240" w:lineRule="auto"/>
      </w:pPr>
      <w:r>
        <w:continuationSeparator/>
      </w:r>
    </w:p>
  </w:endnote>
  <w:endnote w:type="continuationNotice" w:id="1">
    <w:p w14:paraId="5FF5B83C" w14:textId="77777777" w:rsidR="001C721D" w:rsidRDefault="001C7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altName w:val="Calibri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7"/>
      <w:gridCol w:w="2501"/>
      <w:gridCol w:w="4134"/>
    </w:tblGrid>
    <w:tr w:rsidR="000954D0" w:rsidRPr="001E3088" w14:paraId="326E4696" w14:textId="77777777" w:rsidTr="000954D0">
      <w:tc>
        <w:tcPr>
          <w:tcW w:w="4219" w:type="dxa"/>
        </w:tcPr>
        <w:p w14:paraId="58FF7089" w14:textId="1F60F94A" w:rsidR="000954D0" w:rsidRPr="001E3088" w:rsidRDefault="00E8599A" w:rsidP="00E8599A">
          <w:pPr>
            <w:pStyle w:val="Footer"/>
            <w:rPr>
              <w:sz w:val="14"/>
            </w:rPr>
          </w:pPr>
          <w:r w:rsidRPr="001E3088">
            <w:rPr>
              <w:sz w:val="14"/>
            </w:rPr>
            <w:fldChar w:fldCharType="begin"/>
          </w:r>
          <w:r w:rsidRPr="001E3088">
            <w:rPr>
              <w:sz w:val="14"/>
            </w:rPr>
            <w:instrText xml:space="preserve"> FILENAME   \* MERGEFORMAT </w:instrText>
          </w:r>
          <w:r w:rsidRPr="001E3088">
            <w:rPr>
              <w:sz w:val="14"/>
            </w:rPr>
            <w:fldChar w:fldCharType="separate"/>
          </w:r>
          <w:r w:rsidR="00DB4D3A">
            <w:rPr>
              <w:noProof/>
              <w:sz w:val="14"/>
            </w:rPr>
            <w:t>202</w:t>
          </w:r>
          <w:r w:rsidR="00A210B2">
            <w:rPr>
              <w:noProof/>
              <w:sz w:val="14"/>
            </w:rPr>
            <w:t>5</w:t>
          </w:r>
          <w:r w:rsidR="00DB4D3A">
            <w:rPr>
              <w:noProof/>
              <w:sz w:val="14"/>
            </w:rPr>
            <w:t>-2</w:t>
          </w:r>
          <w:r w:rsidR="00A210B2">
            <w:rPr>
              <w:noProof/>
              <w:sz w:val="14"/>
            </w:rPr>
            <w:t>6</w:t>
          </w:r>
          <w:r w:rsidR="00DB4D3A">
            <w:rPr>
              <w:noProof/>
              <w:sz w:val="14"/>
            </w:rPr>
            <w:t xml:space="preserve"> Course Fees Contribution Policy</w:t>
          </w:r>
          <w:r w:rsidRPr="001E3088">
            <w:rPr>
              <w:sz w:val="14"/>
            </w:rPr>
            <w:fldChar w:fldCharType="end"/>
          </w:r>
        </w:p>
      </w:tc>
      <w:tc>
        <w:tcPr>
          <w:tcW w:w="2552" w:type="dxa"/>
        </w:tcPr>
        <w:p w14:paraId="636626FF" w14:textId="77777777" w:rsidR="000954D0" w:rsidRPr="00BB6A04" w:rsidRDefault="00BB6A04" w:rsidP="000954D0">
          <w:pPr>
            <w:pStyle w:val="Footer"/>
            <w:jc w:val="center"/>
            <w:rPr>
              <w:sz w:val="14"/>
            </w:rPr>
          </w:pPr>
          <w:r w:rsidRPr="00BB6A04">
            <w:rPr>
              <w:sz w:val="14"/>
            </w:rPr>
            <w:t xml:space="preserve">Page </w:t>
          </w:r>
          <w:r w:rsidRPr="00BB6A04">
            <w:rPr>
              <w:sz w:val="14"/>
            </w:rPr>
            <w:fldChar w:fldCharType="begin"/>
          </w:r>
          <w:r w:rsidRPr="00BB6A04">
            <w:rPr>
              <w:sz w:val="14"/>
            </w:rPr>
            <w:instrText xml:space="preserve"> PAGE  \* Arabic  \* MERGEFORMAT </w:instrText>
          </w:r>
          <w:r w:rsidRPr="00BB6A04">
            <w:rPr>
              <w:sz w:val="14"/>
            </w:rPr>
            <w:fldChar w:fldCharType="separate"/>
          </w:r>
          <w:r w:rsidR="006F150D">
            <w:rPr>
              <w:noProof/>
              <w:sz w:val="14"/>
            </w:rPr>
            <w:t>1</w:t>
          </w:r>
          <w:r w:rsidRPr="00BB6A04">
            <w:rPr>
              <w:sz w:val="14"/>
            </w:rPr>
            <w:fldChar w:fldCharType="end"/>
          </w:r>
          <w:r w:rsidRPr="00BB6A04">
            <w:rPr>
              <w:sz w:val="14"/>
            </w:rPr>
            <w:t xml:space="preserve"> of </w:t>
          </w:r>
          <w:r w:rsidRPr="00BB6A04">
            <w:rPr>
              <w:sz w:val="14"/>
            </w:rPr>
            <w:fldChar w:fldCharType="begin"/>
          </w:r>
          <w:r w:rsidRPr="00BB6A04">
            <w:rPr>
              <w:sz w:val="14"/>
            </w:rPr>
            <w:instrText xml:space="preserve"> NUMPAGES  \* Arabic  \* MERGEFORMAT </w:instrText>
          </w:r>
          <w:r w:rsidRPr="00BB6A04">
            <w:rPr>
              <w:sz w:val="14"/>
            </w:rPr>
            <w:fldChar w:fldCharType="separate"/>
          </w:r>
          <w:r w:rsidR="006F150D">
            <w:rPr>
              <w:noProof/>
              <w:sz w:val="14"/>
            </w:rPr>
            <w:t>4</w:t>
          </w:r>
          <w:r w:rsidRPr="00BB6A04">
            <w:rPr>
              <w:sz w:val="14"/>
            </w:rPr>
            <w:fldChar w:fldCharType="end"/>
          </w:r>
        </w:p>
      </w:tc>
      <w:tc>
        <w:tcPr>
          <w:tcW w:w="4217" w:type="dxa"/>
        </w:tcPr>
        <w:p w14:paraId="2D6912EC" w14:textId="5D543E7A" w:rsidR="000954D0" w:rsidRPr="001E3088" w:rsidRDefault="000954D0" w:rsidP="00D833BD">
          <w:pPr>
            <w:pStyle w:val="Footer"/>
            <w:jc w:val="right"/>
            <w:rPr>
              <w:sz w:val="14"/>
            </w:rPr>
          </w:pPr>
          <w:r w:rsidRPr="001E3088">
            <w:rPr>
              <w:sz w:val="14"/>
            </w:rPr>
            <w:t xml:space="preserve">Version </w:t>
          </w:r>
          <w:r w:rsidR="00DB4D3A">
            <w:rPr>
              <w:sz w:val="14"/>
            </w:rPr>
            <w:t>1</w:t>
          </w:r>
          <w:r w:rsidRPr="001E3088">
            <w:rPr>
              <w:sz w:val="14"/>
            </w:rPr>
            <w:t>, Issue Date:</w:t>
          </w:r>
          <w:r w:rsidR="0060482A">
            <w:rPr>
              <w:sz w:val="14"/>
            </w:rPr>
            <w:t xml:space="preserve"> </w:t>
          </w:r>
          <w:r w:rsidR="00863218">
            <w:rPr>
              <w:sz w:val="14"/>
            </w:rPr>
            <w:t>09/09</w:t>
          </w:r>
          <w:r w:rsidR="00A210B2">
            <w:rPr>
              <w:sz w:val="14"/>
            </w:rPr>
            <w:t>/2025</w:t>
          </w:r>
        </w:p>
      </w:tc>
    </w:tr>
  </w:tbl>
  <w:p w14:paraId="2A1F701D" w14:textId="77777777" w:rsidR="002B78A3" w:rsidRPr="001E3088" w:rsidRDefault="002B78A3">
    <w:pPr>
      <w:pStyle w:val="Footer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DDE98" w14:textId="77777777" w:rsidR="001C721D" w:rsidRDefault="001C721D" w:rsidP="002B78A3">
      <w:pPr>
        <w:spacing w:after="0" w:line="240" w:lineRule="auto"/>
      </w:pPr>
      <w:r>
        <w:separator/>
      </w:r>
    </w:p>
  </w:footnote>
  <w:footnote w:type="continuationSeparator" w:id="0">
    <w:p w14:paraId="2428EDB6" w14:textId="77777777" w:rsidR="001C721D" w:rsidRDefault="001C721D" w:rsidP="002B78A3">
      <w:pPr>
        <w:spacing w:after="0" w:line="240" w:lineRule="auto"/>
      </w:pPr>
      <w:r>
        <w:continuationSeparator/>
      </w:r>
    </w:p>
  </w:footnote>
  <w:footnote w:type="continuationNotice" w:id="1">
    <w:p w14:paraId="5929BB51" w14:textId="77777777" w:rsidR="001C721D" w:rsidRDefault="001C72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A02D" w14:textId="591DA8B9" w:rsidR="00F8754E" w:rsidRDefault="00F87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123"/>
    <w:multiLevelType w:val="hybridMultilevel"/>
    <w:tmpl w:val="12C0B2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F6190"/>
    <w:multiLevelType w:val="hybridMultilevel"/>
    <w:tmpl w:val="39861E14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E3D602F"/>
    <w:multiLevelType w:val="hybridMultilevel"/>
    <w:tmpl w:val="510E1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C463D"/>
    <w:multiLevelType w:val="hybridMultilevel"/>
    <w:tmpl w:val="B69C3758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48B33D81"/>
    <w:multiLevelType w:val="hybridMultilevel"/>
    <w:tmpl w:val="A468C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8269CE"/>
    <w:multiLevelType w:val="hybridMultilevel"/>
    <w:tmpl w:val="B312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17525">
    <w:abstractNumId w:val="3"/>
  </w:num>
  <w:num w:numId="2" w16cid:durableId="2056389888">
    <w:abstractNumId w:val="1"/>
  </w:num>
  <w:num w:numId="3" w16cid:durableId="1388643984">
    <w:abstractNumId w:val="2"/>
  </w:num>
  <w:num w:numId="4" w16cid:durableId="849218913">
    <w:abstractNumId w:val="0"/>
  </w:num>
  <w:num w:numId="5" w16cid:durableId="2078238883">
    <w:abstractNumId w:val="4"/>
  </w:num>
  <w:num w:numId="6" w16cid:durableId="1726905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A3"/>
    <w:rsid w:val="00003A91"/>
    <w:rsid w:val="000060CE"/>
    <w:rsid w:val="0000775E"/>
    <w:rsid w:val="0003493B"/>
    <w:rsid w:val="00034B11"/>
    <w:rsid w:val="00035D3B"/>
    <w:rsid w:val="000361FC"/>
    <w:rsid w:val="00050861"/>
    <w:rsid w:val="000577E5"/>
    <w:rsid w:val="00082E42"/>
    <w:rsid w:val="000954D0"/>
    <w:rsid w:val="000D3ABF"/>
    <w:rsid w:val="000E1F16"/>
    <w:rsid w:val="000E70AF"/>
    <w:rsid w:val="000F31F2"/>
    <w:rsid w:val="00112920"/>
    <w:rsid w:val="0011319A"/>
    <w:rsid w:val="001143A6"/>
    <w:rsid w:val="00117FF5"/>
    <w:rsid w:val="001358DB"/>
    <w:rsid w:val="001372D2"/>
    <w:rsid w:val="00141750"/>
    <w:rsid w:val="00155ADD"/>
    <w:rsid w:val="001609D5"/>
    <w:rsid w:val="001614B4"/>
    <w:rsid w:val="00187E5E"/>
    <w:rsid w:val="001A07B3"/>
    <w:rsid w:val="001A10D7"/>
    <w:rsid w:val="001A3644"/>
    <w:rsid w:val="001A4F6E"/>
    <w:rsid w:val="001B2221"/>
    <w:rsid w:val="001B73A6"/>
    <w:rsid w:val="001C08D3"/>
    <w:rsid w:val="001C5A20"/>
    <w:rsid w:val="001C721D"/>
    <w:rsid w:val="001C7F63"/>
    <w:rsid w:val="001E07A2"/>
    <w:rsid w:val="001E3088"/>
    <w:rsid w:val="001E40B5"/>
    <w:rsid w:val="001F0C74"/>
    <w:rsid w:val="002029F5"/>
    <w:rsid w:val="00204031"/>
    <w:rsid w:val="002109E3"/>
    <w:rsid w:val="00222F73"/>
    <w:rsid w:val="00223A81"/>
    <w:rsid w:val="00223E98"/>
    <w:rsid w:val="0022774E"/>
    <w:rsid w:val="002321A4"/>
    <w:rsid w:val="002344E2"/>
    <w:rsid w:val="002426AE"/>
    <w:rsid w:val="00245E6C"/>
    <w:rsid w:val="00253AEB"/>
    <w:rsid w:val="002561E9"/>
    <w:rsid w:val="002639AC"/>
    <w:rsid w:val="00267326"/>
    <w:rsid w:val="00274138"/>
    <w:rsid w:val="00274287"/>
    <w:rsid w:val="00283957"/>
    <w:rsid w:val="00292528"/>
    <w:rsid w:val="00292664"/>
    <w:rsid w:val="00296BA9"/>
    <w:rsid w:val="002A1571"/>
    <w:rsid w:val="002B78A3"/>
    <w:rsid w:val="002D0581"/>
    <w:rsid w:val="002D0D92"/>
    <w:rsid w:val="002E5321"/>
    <w:rsid w:val="002E79AF"/>
    <w:rsid w:val="002F4CFF"/>
    <w:rsid w:val="00305C02"/>
    <w:rsid w:val="003150AC"/>
    <w:rsid w:val="00342CB0"/>
    <w:rsid w:val="00351DCE"/>
    <w:rsid w:val="0035323D"/>
    <w:rsid w:val="00353DFB"/>
    <w:rsid w:val="00361E15"/>
    <w:rsid w:val="0038000C"/>
    <w:rsid w:val="003810C7"/>
    <w:rsid w:val="0038247F"/>
    <w:rsid w:val="003970A5"/>
    <w:rsid w:val="003A0A55"/>
    <w:rsid w:val="003A0DC9"/>
    <w:rsid w:val="003A1110"/>
    <w:rsid w:val="003B1360"/>
    <w:rsid w:val="003C2318"/>
    <w:rsid w:val="003C2AEC"/>
    <w:rsid w:val="003C2B03"/>
    <w:rsid w:val="003C2DF8"/>
    <w:rsid w:val="003D30E5"/>
    <w:rsid w:val="003E63A9"/>
    <w:rsid w:val="003E768A"/>
    <w:rsid w:val="003F53D6"/>
    <w:rsid w:val="004015DE"/>
    <w:rsid w:val="00404543"/>
    <w:rsid w:val="004107D6"/>
    <w:rsid w:val="00414301"/>
    <w:rsid w:val="00432B12"/>
    <w:rsid w:val="004523F3"/>
    <w:rsid w:val="00457A86"/>
    <w:rsid w:val="00463208"/>
    <w:rsid w:val="004737CA"/>
    <w:rsid w:val="00480680"/>
    <w:rsid w:val="004809FD"/>
    <w:rsid w:val="0048135A"/>
    <w:rsid w:val="00483E4C"/>
    <w:rsid w:val="004919EF"/>
    <w:rsid w:val="00493641"/>
    <w:rsid w:val="00493766"/>
    <w:rsid w:val="00493B7F"/>
    <w:rsid w:val="004A37DF"/>
    <w:rsid w:val="004D2485"/>
    <w:rsid w:val="004D3401"/>
    <w:rsid w:val="004D5626"/>
    <w:rsid w:val="004E21ED"/>
    <w:rsid w:val="004F0DFD"/>
    <w:rsid w:val="004F2B73"/>
    <w:rsid w:val="00501407"/>
    <w:rsid w:val="00511A76"/>
    <w:rsid w:val="005139AE"/>
    <w:rsid w:val="00514B6C"/>
    <w:rsid w:val="00516978"/>
    <w:rsid w:val="00517365"/>
    <w:rsid w:val="00520B3D"/>
    <w:rsid w:val="00524609"/>
    <w:rsid w:val="00526431"/>
    <w:rsid w:val="00526AAD"/>
    <w:rsid w:val="00526C2A"/>
    <w:rsid w:val="005363E6"/>
    <w:rsid w:val="0053775A"/>
    <w:rsid w:val="00541018"/>
    <w:rsid w:val="00543649"/>
    <w:rsid w:val="0054457B"/>
    <w:rsid w:val="005452EF"/>
    <w:rsid w:val="00545F3B"/>
    <w:rsid w:val="0056527F"/>
    <w:rsid w:val="00571035"/>
    <w:rsid w:val="0057315A"/>
    <w:rsid w:val="005743B6"/>
    <w:rsid w:val="0058056A"/>
    <w:rsid w:val="00580D44"/>
    <w:rsid w:val="00583F2A"/>
    <w:rsid w:val="00587110"/>
    <w:rsid w:val="00587C5A"/>
    <w:rsid w:val="00597513"/>
    <w:rsid w:val="005A6841"/>
    <w:rsid w:val="005B2C51"/>
    <w:rsid w:val="005B33D0"/>
    <w:rsid w:val="005C2D79"/>
    <w:rsid w:val="005D4E90"/>
    <w:rsid w:val="005E31FE"/>
    <w:rsid w:val="0060482A"/>
    <w:rsid w:val="0060520A"/>
    <w:rsid w:val="006277C2"/>
    <w:rsid w:val="00631ED5"/>
    <w:rsid w:val="00634923"/>
    <w:rsid w:val="0064121D"/>
    <w:rsid w:val="006464DF"/>
    <w:rsid w:val="0065185D"/>
    <w:rsid w:val="00653D5D"/>
    <w:rsid w:val="00654672"/>
    <w:rsid w:val="00656155"/>
    <w:rsid w:val="0066166E"/>
    <w:rsid w:val="00664734"/>
    <w:rsid w:val="006651F3"/>
    <w:rsid w:val="00672649"/>
    <w:rsid w:val="00681C11"/>
    <w:rsid w:val="00686304"/>
    <w:rsid w:val="006942E8"/>
    <w:rsid w:val="00697087"/>
    <w:rsid w:val="00697D72"/>
    <w:rsid w:val="006B494C"/>
    <w:rsid w:val="006B678C"/>
    <w:rsid w:val="006C2968"/>
    <w:rsid w:val="006C7086"/>
    <w:rsid w:val="006C76E3"/>
    <w:rsid w:val="006D5749"/>
    <w:rsid w:val="006F150D"/>
    <w:rsid w:val="006F3643"/>
    <w:rsid w:val="00707E86"/>
    <w:rsid w:val="0071014A"/>
    <w:rsid w:val="007154DA"/>
    <w:rsid w:val="00716302"/>
    <w:rsid w:val="00727F0F"/>
    <w:rsid w:val="00744C67"/>
    <w:rsid w:val="00744C80"/>
    <w:rsid w:val="00745003"/>
    <w:rsid w:val="007505FF"/>
    <w:rsid w:val="007B06C3"/>
    <w:rsid w:val="007B5CF8"/>
    <w:rsid w:val="007C1846"/>
    <w:rsid w:val="007C2D89"/>
    <w:rsid w:val="007C74F7"/>
    <w:rsid w:val="007D1CB2"/>
    <w:rsid w:val="007D6680"/>
    <w:rsid w:val="007D7735"/>
    <w:rsid w:val="007E61D0"/>
    <w:rsid w:val="007F081F"/>
    <w:rsid w:val="008013E9"/>
    <w:rsid w:val="00802301"/>
    <w:rsid w:val="008175CC"/>
    <w:rsid w:val="00820525"/>
    <w:rsid w:val="00826ED9"/>
    <w:rsid w:val="00830F6A"/>
    <w:rsid w:val="00833926"/>
    <w:rsid w:val="00837A1F"/>
    <w:rsid w:val="00854CFB"/>
    <w:rsid w:val="008573E9"/>
    <w:rsid w:val="00863218"/>
    <w:rsid w:val="0087178B"/>
    <w:rsid w:val="00872B55"/>
    <w:rsid w:val="00875756"/>
    <w:rsid w:val="00877A7B"/>
    <w:rsid w:val="00883674"/>
    <w:rsid w:val="00893636"/>
    <w:rsid w:val="00895B9D"/>
    <w:rsid w:val="0089646E"/>
    <w:rsid w:val="00897C75"/>
    <w:rsid w:val="008A5ACA"/>
    <w:rsid w:val="008A7E78"/>
    <w:rsid w:val="008C0E3A"/>
    <w:rsid w:val="008C465D"/>
    <w:rsid w:val="008C547C"/>
    <w:rsid w:val="008D7714"/>
    <w:rsid w:val="008E0D7F"/>
    <w:rsid w:val="008F53C1"/>
    <w:rsid w:val="00902C61"/>
    <w:rsid w:val="00903DDA"/>
    <w:rsid w:val="0091178E"/>
    <w:rsid w:val="0091451F"/>
    <w:rsid w:val="0093151C"/>
    <w:rsid w:val="00941CFA"/>
    <w:rsid w:val="00944ADF"/>
    <w:rsid w:val="00945783"/>
    <w:rsid w:val="00950303"/>
    <w:rsid w:val="009624B4"/>
    <w:rsid w:val="00963C26"/>
    <w:rsid w:val="00977FA1"/>
    <w:rsid w:val="009856F0"/>
    <w:rsid w:val="00990BB5"/>
    <w:rsid w:val="009927CC"/>
    <w:rsid w:val="009A3210"/>
    <w:rsid w:val="009A46CD"/>
    <w:rsid w:val="009B05B0"/>
    <w:rsid w:val="009B11AA"/>
    <w:rsid w:val="009B2349"/>
    <w:rsid w:val="009B4DE1"/>
    <w:rsid w:val="009C30DE"/>
    <w:rsid w:val="009D2F61"/>
    <w:rsid w:val="009D3863"/>
    <w:rsid w:val="009E0012"/>
    <w:rsid w:val="009E4B74"/>
    <w:rsid w:val="009E7069"/>
    <w:rsid w:val="009F5F0B"/>
    <w:rsid w:val="00A01D4B"/>
    <w:rsid w:val="00A210B2"/>
    <w:rsid w:val="00A41629"/>
    <w:rsid w:val="00A419B0"/>
    <w:rsid w:val="00A50EAA"/>
    <w:rsid w:val="00A54EBC"/>
    <w:rsid w:val="00A639BB"/>
    <w:rsid w:val="00A655E1"/>
    <w:rsid w:val="00A724CB"/>
    <w:rsid w:val="00A737F2"/>
    <w:rsid w:val="00A748C1"/>
    <w:rsid w:val="00A77EBA"/>
    <w:rsid w:val="00A830C3"/>
    <w:rsid w:val="00A92236"/>
    <w:rsid w:val="00A94436"/>
    <w:rsid w:val="00A95CD9"/>
    <w:rsid w:val="00AA1C9D"/>
    <w:rsid w:val="00AA56B6"/>
    <w:rsid w:val="00AB4AA7"/>
    <w:rsid w:val="00AB60E6"/>
    <w:rsid w:val="00AB67C6"/>
    <w:rsid w:val="00AD0DCC"/>
    <w:rsid w:val="00AD5E4A"/>
    <w:rsid w:val="00AF38F6"/>
    <w:rsid w:val="00AF401E"/>
    <w:rsid w:val="00B00E37"/>
    <w:rsid w:val="00B063D1"/>
    <w:rsid w:val="00B1633E"/>
    <w:rsid w:val="00B17433"/>
    <w:rsid w:val="00B225D4"/>
    <w:rsid w:val="00B31E70"/>
    <w:rsid w:val="00B365D2"/>
    <w:rsid w:val="00B37DB3"/>
    <w:rsid w:val="00B437F3"/>
    <w:rsid w:val="00B450BB"/>
    <w:rsid w:val="00B46B69"/>
    <w:rsid w:val="00B47CD3"/>
    <w:rsid w:val="00B538F1"/>
    <w:rsid w:val="00B53D7E"/>
    <w:rsid w:val="00B6021D"/>
    <w:rsid w:val="00B7288E"/>
    <w:rsid w:val="00B828D8"/>
    <w:rsid w:val="00B84025"/>
    <w:rsid w:val="00B864C0"/>
    <w:rsid w:val="00B9360C"/>
    <w:rsid w:val="00B9372B"/>
    <w:rsid w:val="00B951DE"/>
    <w:rsid w:val="00B96CF5"/>
    <w:rsid w:val="00BA5798"/>
    <w:rsid w:val="00BB4216"/>
    <w:rsid w:val="00BB6A04"/>
    <w:rsid w:val="00BC5093"/>
    <w:rsid w:val="00BD3DF6"/>
    <w:rsid w:val="00BE0385"/>
    <w:rsid w:val="00BE2F6D"/>
    <w:rsid w:val="00BE48F3"/>
    <w:rsid w:val="00BF4E0A"/>
    <w:rsid w:val="00BF6CF3"/>
    <w:rsid w:val="00C06A2D"/>
    <w:rsid w:val="00C14954"/>
    <w:rsid w:val="00C209BE"/>
    <w:rsid w:val="00C25C49"/>
    <w:rsid w:val="00C37BFB"/>
    <w:rsid w:val="00C47BC5"/>
    <w:rsid w:val="00C50E03"/>
    <w:rsid w:val="00C538EE"/>
    <w:rsid w:val="00C61E9F"/>
    <w:rsid w:val="00C70365"/>
    <w:rsid w:val="00C743AF"/>
    <w:rsid w:val="00C8067D"/>
    <w:rsid w:val="00C85610"/>
    <w:rsid w:val="00C900C3"/>
    <w:rsid w:val="00C95D0E"/>
    <w:rsid w:val="00C97375"/>
    <w:rsid w:val="00CA02C5"/>
    <w:rsid w:val="00CA0C7E"/>
    <w:rsid w:val="00CA4C2D"/>
    <w:rsid w:val="00CC0ABD"/>
    <w:rsid w:val="00CC16DF"/>
    <w:rsid w:val="00CC4958"/>
    <w:rsid w:val="00CC5CF5"/>
    <w:rsid w:val="00CD066E"/>
    <w:rsid w:val="00CD19CC"/>
    <w:rsid w:val="00CD62B7"/>
    <w:rsid w:val="00CD6C22"/>
    <w:rsid w:val="00CE35CF"/>
    <w:rsid w:val="00CE418D"/>
    <w:rsid w:val="00CF06FE"/>
    <w:rsid w:val="00CF7503"/>
    <w:rsid w:val="00D01391"/>
    <w:rsid w:val="00D1542C"/>
    <w:rsid w:val="00D17E9B"/>
    <w:rsid w:val="00D235B3"/>
    <w:rsid w:val="00D25727"/>
    <w:rsid w:val="00D31AA3"/>
    <w:rsid w:val="00D40235"/>
    <w:rsid w:val="00D442DC"/>
    <w:rsid w:val="00D80121"/>
    <w:rsid w:val="00D833BD"/>
    <w:rsid w:val="00D84C73"/>
    <w:rsid w:val="00DB4D3A"/>
    <w:rsid w:val="00DC083B"/>
    <w:rsid w:val="00DC2977"/>
    <w:rsid w:val="00DC2F0B"/>
    <w:rsid w:val="00DC531D"/>
    <w:rsid w:val="00DC6645"/>
    <w:rsid w:val="00DD3DCC"/>
    <w:rsid w:val="00DE0929"/>
    <w:rsid w:val="00DE74DC"/>
    <w:rsid w:val="00E128BC"/>
    <w:rsid w:val="00E23AE7"/>
    <w:rsid w:val="00E27B2A"/>
    <w:rsid w:val="00E333FC"/>
    <w:rsid w:val="00E37826"/>
    <w:rsid w:val="00E56977"/>
    <w:rsid w:val="00E62246"/>
    <w:rsid w:val="00E663AE"/>
    <w:rsid w:val="00E70707"/>
    <w:rsid w:val="00E71241"/>
    <w:rsid w:val="00E8599A"/>
    <w:rsid w:val="00E8658B"/>
    <w:rsid w:val="00E95744"/>
    <w:rsid w:val="00EA0BF5"/>
    <w:rsid w:val="00EA16D1"/>
    <w:rsid w:val="00EA6438"/>
    <w:rsid w:val="00EA695A"/>
    <w:rsid w:val="00EA77C1"/>
    <w:rsid w:val="00EB1F0B"/>
    <w:rsid w:val="00EB1FB0"/>
    <w:rsid w:val="00EC07B4"/>
    <w:rsid w:val="00EC159E"/>
    <w:rsid w:val="00EC2E93"/>
    <w:rsid w:val="00EC50E8"/>
    <w:rsid w:val="00EC5359"/>
    <w:rsid w:val="00EE0570"/>
    <w:rsid w:val="00EE2570"/>
    <w:rsid w:val="00EF76D7"/>
    <w:rsid w:val="00F1287D"/>
    <w:rsid w:val="00F2218E"/>
    <w:rsid w:val="00F23CCB"/>
    <w:rsid w:val="00F30661"/>
    <w:rsid w:val="00F3251D"/>
    <w:rsid w:val="00F37AFC"/>
    <w:rsid w:val="00F37E68"/>
    <w:rsid w:val="00F37FDB"/>
    <w:rsid w:val="00F44B68"/>
    <w:rsid w:val="00F5734E"/>
    <w:rsid w:val="00F77250"/>
    <w:rsid w:val="00F8632E"/>
    <w:rsid w:val="00F8754E"/>
    <w:rsid w:val="00F93500"/>
    <w:rsid w:val="00F967E3"/>
    <w:rsid w:val="00FB54CE"/>
    <w:rsid w:val="00FC27EC"/>
    <w:rsid w:val="00FD4CEA"/>
    <w:rsid w:val="00FD5802"/>
    <w:rsid w:val="00FE5261"/>
    <w:rsid w:val="00FE644C"/>
    <w:rsid w:val="00FF3699"/>
    <w:rsid w:val="1033FF5B"/>
    <w:rsid w:val="121903D3"/>
    <w:rsid w:val="2A751D37"/>
    <w:rsid w:val="3160039B"/>
    <w:rsid w:val="346D1B1A"/>
    <w:rsid w:val="36744033"/>
    <w:rsid w:val="42A76ADB"/>
    <w:rsid w:val="54EF5D46"/>
    <w:rsid w:val="68527B53"/>
    <w:rsid w:val="6A1E0C88"/>
    <w:rsid w:val="6A2885B6"/>
    <w:rsid w:val="7E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9D07"/>
  <w15:docId w15:val="{251B6CD5-1EBB-40E2-BFA5-9314A430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8A3"/>
  </w:style>
  <w:style w:type="paragraph" w:styleId="Footer">
    <w:name w:val="footer"/>
    <w:basedOn w:val="Normal"/>
    <w:link w:val="FooterChar"/>
    <w:unhideWhenUsed/>
    <w:rsid w:val="002B7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8A3"/>
  </w:style>
  <w:style w:type="table" w:styleId="TableGrid">
    <w:name w:val="Table Grid"/>
    <w:basedOn w:val="TableNormal"/>
    <w:uiPriority w:val="59"/>
    <w:rsid w:val="002B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A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95CD9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95CD9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95CD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95CD9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C4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59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5E1"/>
    <w:rPr>
      <w:color w:val="800080" w:themeColor="followedHyperlink"/>
      <w:u w:val="single"/>
    </w:rPr>
  </w:style>
  <w:style w:type="paragraph" w:customStyle="1" w:styleId="Default">
    <w:name w:val="Default"/>
    <w:rsid w:val="006C70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_msonormal"/>
    <w:basedOn w:val="Normal"/>
    <w:rsid w:val="00902C6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xmsolistparagraph">
    <w:name w:val="x_x_msolistparagraph"/>
    <w:basedOn w:val="Normal"/>
    <w:rsid w:val="00902C6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AB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C0AB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C0AB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8911475D2584A92F6FBCC50490219" ma:contentTypeVersion="15" ma:contentTypeDescription="Create a new document." ma:contentTypeScope="" ma:versionID="f07afb7c1c6aab2d350670738ec40113">
  <xsd:schema xmlns:xsd="http://www.w3.org/2001/XMLSchema" xmlns:xs="http://www.w3.org/2001/XMLSchema" xmlns:p="http://schemas.microsoft.com/office/2006/metadata/properties" xmlns:ns2="12228ad1-76b2-47df-90fa-a15bb13ea285" xmlns:ns3="124b6c2c-3a39-4877-83cb-e4e33f542098" targetNamespace="http://schemas.microsoft.com/office/2006/metadata/properties" ma:root="true" ma:fieldsID="08ff2579c5980a1a21b25d13d0574ed1" ns2:_="" ns3:_="">
    <xsd:import namespace="12228ad1-76b2-47df-90fa-a15bb13ea285"/>
    <xsd:import namespace="124b6c2c-3a39-4877-83cb-e4e33f542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K08B1065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28ad1-76b2-47df-90fa-a15bb13ea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f7db38-7136-42f5-95f6-6419066e9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08B1065" ma:index="21" nillable="true" ma:displayName="K08B1065" ma:format="Dropdown" ma:internalName="K08B1065">
      <xsd:simpleType>
        <xsd:restriction base="dms:Lookup"/>
      </xsd:simpleType>
    </xsd:element>
    <xsd:element name="Number" ma:index="22" nillable="true" ma:displayName="Number" ma:description="Number to associate to map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b6c2c-3a39-4877-83cb-e4e33f5420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75ba11f-2252-4d36-afff-8331051f796b}" ma:internalName="TaxCatchAll" ma:showField="CatchAllData" ma:web="124b6c2c-3a39-4877-83cb-e4e33f542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228ad1-76b2-47df-90fa-a15bb13ea285">
      <Terms xmlns="http://schemas.microsoft.com/office/infopath/2007/PartnerControls"/>
    </lcf76f155ced4ddcb4097134ff3c332f>
    <TaxCatchAll xmlns="124b6c2c-3a39-4877-83cb-e4e33f542098" xsi:nil="true"/>
    <K08B1065 xmlns="12228ad1-76b2-47df-90fa-a15bb13ea285" xsi:nil="true"/>
    <Number xmlns="12228ad1-76b2-47df-90fa-a15bb13ea2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44CAC-9C5D-4557-BBDE-467637D1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28ad1-76b2-47df-90fa-a15bb13ea285"/>
    <ds:schemaRef ds:uri="124b6c2c-3a39-4877-83cb-e4e33f542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03C10-654B-4DC9-9302-D8F19BA2E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B19CD-1E8D-4B88-B6E0-64CB3D01CA8D}">
  <ds:schemaRefs>
    <ds:schemaRef ds:uri="http://purl.org/dc/elements/1.1/"/>
    <ds:schemaRef ds:uri="http://schemas.microsoft.com/office/2006/metadata/properties"/>
    <ds:schemaRef ds:uri="http://www.w3.org/XML/1998/namespace"/>
    <ds:schemaRef ds:uri="12228ad1-76b2-47df-90fa-a15bb13ea285"/>
    <ds:schemaRef ds:uri="http://purl.org/dc/terms/"/>
    <ds:schemaRef ds:uri="124b6c2c-3a39-4877-83cb-e4e33f542098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7782B1-A2DC-475D-8ABF-0D9E76D5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5473</Characters>
  <Application>Microsoft Office Word</Application>
  <DocSecurity>2</DocSecurity>
  <Lines>45</Lines>
  <Paragraphs>12</Paragraphs>
  <ScaleCrop>false</ScaleCrop>
  <Company>Hewlett-Packard Company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Bryant</dc:creator>
  <cp:keywords/>
  <cp:lastModifiedBy>Melanie Hercus</cp:lastModifiedBy>
  <cp:revision>2</cp:revision>
  <cp:lastPrinted>2024-05-01T16:39:00Z</cp:lastPrinted>
  <dcterms:created xsi:type="dcterms:W3CDTF">2025-09-12T13:08:00Z</dcterms:created>
  <dcterms:modified xsi:type="dcterms:W3CDTF">2025-09-12T13:08:00Z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0x0101004218911475D2584A92F6FBCC50490219</vt:lpwstr>
  </property>
  <property fmtid="{D5CDD505-2E9C-101B-9397-08002B2CF9AE}" pid="3" name="Order">
    <vt:r8>96800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